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hd w:val="clear" w:color="auto" w:fill="FFFFFF"/>
        <w:spacing w:line="420" w:lineRule="atLeast"/>
        <w:jc w:val="center"/>
        <w:rPr>
          <w:rFonts w:hint="eastAsia" w:ascii="宋体" w:hAnsi="宋体" w:eastAsia="宋体" w:cs="宋体"/>
          <w:color w:val="333333"/>
          <w:kern w:val="0"/>
          <w:szCs w:val="21"/>
        </w:rPr>
      </w:pPr>
      <w:r>
        <w:rPr>
          <w:rFonts w:ascii="宋体" w:hAnsi="宋体" w:eastAsia="宋体" w:cs="宋体"/>
          <w:b/>
          <w:bCs/>
          <w:color w:val="C00808"/>
          <w:kern w:val="0"/>
          <w:sz w:val="24"/>
          <w:szCs w:val="24"/>
        </w:rPr>
        <w:t>公立萨拉戈萨大学</w:t>
      </w:r>
    </w:p>
    <w:p>
      <w:pPr>
        <w:widowControl/>
        <w:jc w:val="left"/>
        <w:rPr>
          <w:rFonts w:ascii="宋体" w:hAnsi="宋体" w:eastAsia="宋体" w:cs="宋体"/>
          <w:kern w:val="0"/>
          <w:sz w:val="24"/>
          <w:szCs w:val="24"/>
        </w:rPr>
      </w:pPr>
      <w:r>
        <w:rPr>
          <w:rFonts w:ascii="宋体" w:hAnsi="宋体" w:eastAsia="宋体" w:cs="宋体"/>
          <w:color w:val="333333"/>
          <w:kern w:val="0"/>
          <w:szCs w:val="21"/>
        </w:rPr>
        <w:br/>
      </w:r>
      <w:r>
        <w:rPr>
          <w:rFonts w:ascii="宋体" w:hAnsi="宋体" w:eastAsia="宋体" w:cs="宋体"/>
          <w:b/>
          <w:bCs/>
          <w:color w:val="C00808"/>
          <w:kern w:val="0"/>
          <w:szCs w:val="21"/>
          <w:shd w:val="clear" w:color="auto" w:fill="FFFFFF"/>
        </w:rPr>
        <w:t>数据·萨拉戈萨大学</w:t>
      </w:r>
      <w:r>
        <w:rPr>
          <w:rFonts w:ascii="宋体" w:hAnsi="宋体" w:eastAsia="宋体" w:cs="宋体"/>
          <w:b/>
          <w:bCs/>
          <w:color w:val="C00808"/>
          <w:kern w:val="0"/>
        </w:rPr>
        <w:t> </w:t>
      </w:r>
    </w:p>
    <w:tbl>
      <w:tblPr>
        <w:tblW w:w="8334" w:type="dxa"/>
        <w:tblCellSpacing w:w="7"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CCCCCC"/>
        <w:tblLayout w:type="fixed"/>
        <w:tblCellMar>
          <w:left w:w="0" w:type="dxa"/>
          <w:right w:w="0" w:type="dxa"/>
        </w:tblCellMar>
      </w:tblPr>
      <w:tblGrid>
        <w:gridCol w:w="5008"/>
        <w:gridCol w:w="3326"/>
      </w:tblGrid>
      <w:tr>
        <w:trPr>
          <w:trHeight w:val="360" w:hRule="atLeast"/>
          <w:tblCellSpacing w:w="7" w:type="dxa"/>
        </w:trPr>
        <w:tc>
          <w:tcPr>
            <w:tcW w:w="4987"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35000名在校学生</w:t>
            </w:r>
          </w:p>
        </w:tc>
        <w:tc>
          <w:tcPr>
            <w:tcW w:w="330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3500名教师及研究人员</w:t>
            </w:r>
          </w:p>
        </w:tc>
      </w:tr>
      <w:tr>
        <w:trPr>
          <w:trHeight w:val="360" w:hRule="atLeast"/>
          <w:tblCellSpacing w:w="7" w:type="dxa"/>
        </w:trPr>
        <w:tc>
          <w:tcPr>
            <w:tcW w:w="4987"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1800名管理及服务人员</w:t>
            </w:r>
          </w:p>
        </w:tc>
        <w:tc>
          <w:tcPr>
            <w:tcW w:w="330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每年2000多名欧盟学生交流</w:t>
            </w:r>
          </w:p>
        </w:tc>
      </w:tr>
      <w:tr>
        <w:trPr>
          <w:trHeight w:val="360" w:hRule="atLeast"/>
          <w:tblCellSpacing w:w="7" w:type="dxa"/>
        </w:trPr>
        <w:tc>
          <w:tcPr>
            <w:tcW w:w="4987"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5个大学校区</w:t>
            </w:r>
          </w:p>
        </w:tc>
        <w:tc>
          <w:tcPr>
            <w:tcW w:w="330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图书馆拥有100多万册藏书</w:t>
            </w:r>
          </w:p>
        </w:tc>
      </w:tr>
      <w:tr>
        <w:trPr>
          <w:trHeight w:val="360" w:hRule="atLeast"/>
          <w:tblCellSpacing w:w="7" w:type="dxa"/>
        </w:trPr>
        <w:tc>
          <w:tcPr>
            <w:tcW w:w="4987"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与机构及企业签订1000多个协议，保证实习机会</w:t>
            </w:r>
          </w:p>
        </w:tc>
        <w:tc>
          <w:tcPr>
            <w:tcW w:w="330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每年2.84亿西班牙政府财政拨款</w:t>
            </w:r>
          </w:p>
        </w:tc>
      </w:tr>
      <w:tr>
        <w:trPr>
          <w:trHeight w:val="360" w:hRule="atLeast"/>
          <w:tblCellSpacing w:w="7" w:type="dxa"/>
        </w:trPr>
        <w:tc>
          <w:tcPr>
            <w:tcW w:w="4987"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114博士项目</w:t>
            </w:r>
          </w:p>
        </w:tc>
        <w:tc>
          <w:tcPr>
            <w:tcW w:w="330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1500多个研究项目</w:t>
            </w:r>
          </w:p>
        </w:tc>
      </w:tr>
    </w:tbl>
    <w:p>
      <w:pPr>
        <w:rPr>
          <w:rFonts w:hint="eastAsia" w:ascii="宋体" w:hAnsi="宋体" w:eastAsia="宋体" w:cs="宋体"/>
          <w:color w:val="333333"/>
          <w:kern w:val="0"/>
        </w:rPr>
      </w:pPr>
      <w:r>
        <w:rPr>
          <w:rFonts w:ascii="宋体" w:hAnsi="宋体" w:eastAsia="宋体" w:cs="宋体"/>
          <w:b/>
          <w:bCs/>
          <w:color w:val="C00808"/>
          <w:kern w:val="0"/>
          <w:szCs w:val="21"/>
          <w:shd w:val="clear" w:color="auto" w:fill="FFFFFF"/>
        </w:rPr>
        <w:br/>
      </w:r>
      <w:r>
        <w:rPr>
          <w:rFonts w:ascii="宋体" w:hAnsi="宋体" w:eastAsia="宋体" w:cs="宋体"/>
          <w:b/>
          <w:bCs/>
          <w:color w:val="C00808"/>
          <w:kern w:val="0"/>
          <w:szCs w:val="21"/>
          <w:shd w:val="clear" w:color="auto" w:fill="FFFFFF"/>
        </w:rPr>
        <w:t>大学概况</w:t>
      </w:r>
      <w:r>
        <w:rPr>
          <w:rFonts w:ascii="宋体" w:hAnsi="宋体" w:eastAsia="宋体" w:cs="宋体"/>
          <w:b/>
          <w:bCs/>
          <w:color w:val="C00808"/>
          <w:kern w:val="0"/>
        </w:rPr>
        <w:t> </w:t>
      </w:r>
      <w:r>
        <w:rPr>
          <w:rFonts w:ascii="宋体" w:hAnsi="宋体" w:eastAsia="宋体" w:cs="宋体"/>
          <w:color w:val="333333"/>
          <w:kern w:val="0"/>
          <w:szCs w:val="21"/>
        </w:rPr>
        <w:br/>
      </w:r>
      <w:r>
        <w:rPr>
          <w:rFonts w:ascii="宋体" w:hAnsi="宋体" w:eastAsia="宋体" w:cs="宋体"/>
          <w:color w:val="333333"/>
          <w:kern w:val="0"/>
          <w:szCs w:val="21"/>
          <w:shd w:val="clear" w:color="auto" w:fill="FFFFFF"/>
        </w:rPr>
        <w:t>西班牙萨拉戈萨大学位于西班牙北部阿拉贡自治区的首府—萨拉戈萨市市中心，交通十分便利，距首都马德里仅2个多小时的行程，距离西班牙第一大港口城市巴塞罗那也只有300公里。优越的地理位置使她的商业生机勃勃，人民生活丰富多彩且舒适，消费水平低，是理想的生活娱乐读书所在。</w:t>
      </w:r>
      <w:r>
        <w:rPr>
          <w:rFonts w:ascii="宋体" w:hAnsi="宋体" w:eastAsia="宋体" w:cs="宋体"/>
          <w:color w:val="333333"/>
          <w:kern w:val="0"/>
        </w:rPr>
        <w:t> </w:t>
      </w:r>
      <w:r>
        <w:rPr>
          <w:rFonts w:ascii="宋体" w:hAnsi="宋体" w:eastAsia="宋体" w:cs="宋体"/>
          <w:color w:val="333333"/>
          <w:kern w:val="0"/>
          <w:szCs w:val="21"/>
        </w:rPr>
        <w:br/>
      </w:r>
    </w:p>
    <w:p>
      <w:pPr>
        <w:rPr>
          <w:rFonts w:hint="eastAsia" w:ascii="宋体" w:hAnsi="宋体" w:eastAsia="宋体" w:cs="宋体"/>
          <w:color w:val="333333"/>
          <w:kern w:val="0"/>
        </w:rPr>
      </w:pPr>
    </w:p>
    <w:p>
      <w:pPr>
        <w:rPr>
          <w:rFonts w:hint="eastAsia" w:ascii="宋体" w:hAnsi="宋体"/>
          <w:color w:val="333333"/>
          <w:szCs w:val="21"/>
          <w:shd w:val="clear" w:color="auto" w:fill="FFFFFF"/>
        </w:rPr>
      </w:pPr>
      <w:r>
        <w:rPr>
          <w:rFonts w:ascii="宋体" w:hAnsi="宋体"/>
          <w:b/>
          <w:bCs/>
          <w:color w:val="C00808"/>
          <w:szCs w:val="21"/>
          <w:shd w:val="clear" w:color="auto" w:fill="FFFFFF"/>
        </w:rPr>
        <w:t>院系设置</w:t>
      </w:r>
      <w:r>
        <w:rPr>
          <w:rStyle w:val="9"/>
          <w:rFonts w:ascii="宋体" w:hAnsi="宋体"/>
          <w:b/>
          <w:bCs/>
          <w:color w:val="C00808"/>
          <w:szCs w:val="21"/>
          <w:shd w:val="clear" w:color="auto" w:fill="FFFFFF"/>
        </w:rPr>
        <w:t> </w:t>
      </w:r>
      <w:r>
        <w:rPr>
          <w:rFonts w:ascii="宋体" w:hAnsi="宋体"/>
          <w:color w:val="333333"/>
          <w:szCs w:val="21"/>
        </w:rPr>
        <w:br/>
      </w:r>
      <w:r>
        <w:rPr>
          <w:rFonts w:ascii="宋体" w:hAnsi="宋体"/>
          <w:color w:val="333333"/>
          <w:szCs w:val="21"/>
          <w:shd w:val="clear" w:color="auto" w:fill="FFFFFF"/>
        </w:rPr>
        <w:t>萨拉戈萨大学力求成为一所"为阿拉贡地区进步服务的高质量大学，并以其权威的教学和调研，完美的服务成为全国乃至全世界公认的重点大学"。萨拉戈萨大学内设11个系及12个学院，开设200多个本科学位课程和30多个授课型研究课程，并拥有欧洲一流的MBA教育体系，是世界工商管理硕士专业认证委员会认可者之一，涉及专业包括实验性科学、健康学（化学、物理）、人文科学（哲学美术等）、社会科学及司法学（法律、教育、经济、商业）。大学接受外国学生在其它学校已修的课程，学生选择的专业经学校许可后进入专业学习。学校设有专门的秘书处为学生提供各种学习和生活上的咨询和帮助，并为学生提供住宿安排和信息服务。</w:t>
      </w:r>
      <w:r>
        <w:rPr>
          <w:rStyle w:val="9"/>
          <w:rFonts w:ascii="宋体" w:hAnsi="宋体"/>
          <w:color w:val="333333"/>
          <w:szCs w:val="21"/>
          <w:shd w:val="clear" w:color="auto" w:fill="FFFFFF"/>
        </w:rPr>
        <w:t> </w:t>
      </w:r>
      <w:r>
        <w:rPr>
          <w:rFonts w:ascii="宋体" w:hAnsi="宋体"/>
          <w:color w:val="333333"/>
          <w:szCs w:val="21"/>
        </w:rPr>
        <w:br/>
      </w:r>
      <w:r>
        <w:rPr>
          <w:rFonts w:ascii="宋体" w:hAnsi="宋体"/>
          <w:color w:val="333333"/>
          <w:szCs w:val="21"/>
        </w:rPr>
        <w:br/>
      </w:r>
      <w:r>
        <w:rPr>
          <w:rFonts w:ascii="宋体" w:hAnsi="宋体"/>
          <w:b/>
          <w:bCs/>
          <w:color w:val="C00808"/>
          <w:szCs w:val="21"/>
          <w:shd w:val="clear" w:color="auto" w:fill="FFFFFF"/>
        </w:rPr>
        <w:t>生活导航 ：</w:t>
      </w:r>
      <w:r>
        <w:rPr>
          <w:rStyle w:val="9"/>
          <w:rFonts w:ascii="宋体" w:hAnsi="宋体"/>
          <w:b/>
          <w:bCs/>
          <w:color w:val="C00808"/>
          <w:szCs w:val="21"/>
          <w:shd w:val="clear" w:color="auto" w:fill="FFFFFF"/>
        </w:rPr>
        <w:t> </w:t>
      </w:r>
      <w:r>
        <w:rPr>
          <w:rFonts w:ascii="宋体" w:hAnsi="宋体"/>
          <w:color w:val="333333"/>
          <w:szCs w:val="21"/>
        </w:rPr>
        <w:br/>
      </w:r>
      <w:r>
        <w:rPr>
          <w:rFonts w:ascii="宋体" w:hAnsi="宋体"/>
          <w:color w:val="333333"/>
          <w:szCs w:val="21"/>
          <w:shd w:val="clear" w:color="auto" w:fill="FFFFFF"/>
        </w:rPr>
        <w:t>住宿一般有150-300欧元每月，也有500-700欧元每月的，条件不等。学生可以自己找人在外合租，也可住学校。饮食方面，学校有很多餐馆，一般每餐4欧左右。</w:t>
      </w:r>
    </w:p>
    <w:p>
      <w:pPr>
        <w:rPr>
          <w:rFonts w:hint="eastAsia" w:ascii="宋体" w:hAnsi="宋体"/>
          <w:color w:val="333333"/>
          <w:szCs w:val="21"/>
          <w:shd w:val="clear" w:color="auto" w:fill="FFFFFF"/>
        </w:rPr>
      </w:pPr>
    </w:p>
    <w:p>
      <w:pPr>
        <w:widowControl/>
        <w:jc w:val="left"/>
        <w:rPr>
          <w:rFonts w:ascii="宋体" w:hAnsi="宋体" w:eastAsia="宋体" w:cs="宋体"/>
          <w:kern w:val="0"/>
          <w:sz w:val="24"/>
          <w:szCs w:val="24"/>
        </w:rPr>
      </w:pPr>
      <w:r>
        <w:rPr>
          <w:rFonts w:ascii="宋体" w:hAnsi="宋体" w:eastAsia="宋体" w:cs="宋体"/>
          <w:b/>
          <w:bCs/>
          <w:color w:val="C00808"/>
          <w:kern w:val="0"/>
          <w:szCs w:val="21"/>
          <w:shd w:val="clear" w:color="auto" w:fill="FFFFFF"/>
        </w:rPr>
        <w:t>萨拉戈萨大学官方硕士列表</w:t>
      </w:r>
    </w:p>
    <w:tbl>
      <w:tblPr>
        <w:tblW w:w="8334" w:type="dxa"/>
        <w:tblCellSpacing w:w="7"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CCCCCC"/>
        <w:tblLayout w:type="fixed"/>
        <w:tblCellMar>
          <w:left w:w="0" w:type="dxa"/>
          <w:right w:w="0" w:type="dxa"/>
        </w:tblCellMar>
      </w:tblPr>
      <w:tblGrid>
        <w:gridCol w:w="7113"/>
        <w:gridCol w:w="1221"/>
      </w:tblGrid>
      <w:tr>
        <w:trPr>
          <w:trHeight w:val="360" w:hRule="atLeast"/>
          <w:tblCellSpacing w:w="7" w:type="dxa"/>
        </w:trPr>
        <w:tc>
          <w:tcPr>
            <w:tcW w:w="7092" w:type="dxa"/>
            <w:shd w:val="clear" w:color="auto" w:fill="EAEAEA"/>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Máster Universitario en官方硕士</w:t>
            </w:r>
          </w:p>
        </w:tc>
        <w:tc>
          <w:tcPr>
            <w:tcW w:w="1200" w:type="dxa"/>
            <w:shd w:val="clear" w:color="auto" w:fill="EAEAEA"/>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学分</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Energías Renovables y Eficiencia Energética可再生能源和能效</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Ingeniería Biomédica生物医学工程</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Ingeniería de sistemas e informática计算机系统工程</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Ingeniería Electrónica (*)电子工程（*）</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Iniciación a la Investigación en Ingeniería Química y Medio Ambiente (*)化学和环境工程初级研究（*）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Mecánica Aplicada 应用力学</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Sistemas Mecánicos (*)机械系统（*）</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Tecnología de la información y comunicaciones en redes móviles信息技术和通信的移动网络</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Ciencias de la Enfermería 护理学</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120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Gerontología Social 社会老年医学</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Relaciones de Género (1)两性关系</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Biología molecular y celular 分子与细胞生物学</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Física y tecnologías físicas物理和物理技术</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Iniciación a la investigación en geología 地质学初级研究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Iniciación a la investigación en matemáticas数学初级研究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Investigación química化学研究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Materiales nanoestructurados para aplicaciones nanotecnológicas在纳米技术应用中的纳米结构材料</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75</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Modelización matemática, estadistica y computación数学、统计和计算机建模</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Química sostenible可持续化学</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Ciencias de la Antigüedad (*)古代科学（*）</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Investigación y Estudios Avanzados en Historia (*)历史学高级研究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Estudios Avanzados en Historia del Arte (*)艺术史高级研究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Estudios Filosóficos (*)哲学研究（*）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Estudios Hispánicos: lengua y literatura西班牙研究：语言与文学</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Estudios Medieva les de la Corona de Aragón (*) (enseñanza conjunta con la Universidad de Valencia)</w:t>
            </w:r>
            <w:r>
              <w:rPr>
                <w:rFonts w:ascii="宋体" w:hAnsi="宋体" w:eastAsia="宋体" w:cs="宋体"/>
                <w:color w:val="333333"/>
                <w:kern w:val="0"/>
                <w:sz w:val="18"/>
              </w:rPr>
              <w:t> </w:t>
            </w:r>
            <w:r>
              <w:rPr>
                <w:rFonts w:ascii="宋体" w:hAnsi="宋体" w:eastAsia="宋体" w:cs="宋体"/>
                <w:b/>
                <w:bCs/>
                <w:color w:val="333333"/>
                <w:kern w:val="0"/>
                <w:sz w:val="18"/>
                <w:szCs w:val="18"/>
              </w:rPr>
              <w:t>中世纪阿拉贡王国研究（*）（与瓦伦西亚大学合作教学）</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90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Estudios textuales y culturales en lengua inglesa英文原著和文化研究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Gestión de unidades y servicios de información y documentación文件、信息服务和单位的管理</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120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Gestión del patrimono cultural文化遗产管理</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Historia Contemporánea当代历史</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Ordenación Territorial y Medioambiental环境和土地规划</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Tecnologías de la información geográfica para la ordenación del territorio: sistemas de información geográfica y teledetección.土地规划中的地理信息技术：地理信息系统和遥感</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Traducción de Textos Especializados专门文本的翻译</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Contabilidad y Finanzas会计和财政</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Gestión de las Organizaciones组织管理</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Historia Económica (***)经济史</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Investigación en Economía经济研究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Seguridad Global y defensa世界安全和防御</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Sociología de las Políticas Públicas y sociales (*)公共和社会政策中的社会学</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Unión Europea (*)欧洲联盟（*）</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Especialización e Investigación en Derecho (*)法律专业化和法律研究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Orientación Profesional职业指导</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Profesorado de Educación Secundaria Obligatoria, Bachillerato, Formación Profesional y Enseñanzas de Idiomas, Artísticas y Deportivas (*)中学义务教育、预科、职业教育和语言、艺术、体育类师范教育</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Máster Universtiario en Aprendizaje a lo largo de la vida en contextos multiculturales (*)</w:t>
            </w:r>
            <w:r>
              <w:rPr>
                <w:rFonts w:ascii="宋体" w:hAnsi="宋体" w:eastAsia="宋体" w:cs="宋体"/>
                <w:color w:val="333333"/>
                <w:kern w:val="0"/>
                <w:sz w:val="18"/>
              </w:rPr>
              <w:t> </w:t>
            </w:r>
            <w:r>
              <w:rPr>
                <w:rFonts w:ascii="宋体" w:hAnsi="宋体" w:eastAsia="宋体" w:cs="宋体"/>
                <w:b/>
                <w:bCs/>
                <w:color w:val="333333"/>
                <w:kern w:val="0"/>
                <w:sz w:val="18"/>
                <w:szCs w:val="18"/>
              </w:rPr>
              <w:t>多元文化背景下的终生教育官方硕士（*）</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Condicionantes Genéticos, nutricionales y ambientales del crecimiento y desarrollo (*) (enseñanza conjunta con la Universidad de Granada)</w:t>
            </w:r>
            <w:r>
              <w:rPr>
                <w:rFonts w:ascii="宋体" w:hAnsi="宋体" w:eastAsia="宋体" w:cs="宋体"/>
                <w:color w:val="333333"/>
                <w:kern w:val="0"/>
                <w:sz w:val="18"/>
              </w:rPr>
              <w:t> </w:t>
            </w:r>
            <w:r>
              <w:rPr>
                <w:rFonts w:ascii="宋体" w:hAnsi="宋体" w:eastAsia="宋体" w:cs="宋体"/>
                <w:b/>
                <w:bCs/>
                <w:color w:val="333333"/>
                <w:kern w:val="0"/>
                <w:sz w:val="18"/>
                <w:szCs w:val="18"/>
              </w:rPr>
              <w:t>生长和发展中的基因、营养和环境调节（*）（与格拉纳达大学合作教学）</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Iniciación a la Investigación en Medicina医学初级研究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Iniciación a la Investigación en Ciencia y Tecnología de los Alimentos食品科学和技术初级研究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Iniciación a la Investigación en Ciencias Veterinarias兽医科学初级研究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Nutrición Animal动物营养</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120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Sanidad y Producción Porcina (**)健康和猪肉生产（**）</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Iniciación a la Investigación en Ciencias Agrarias y del Medio Natural农业和自然环境科学初级研究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Dirección y Planificación del Turismo旅游管理与规划</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120</w:t>
            </w:r>
          </w:p>
        </w:tc>
      </w:tr>
      <w:tr>
        <w:trPr>
          <w:trHeight w:val="360" w:hRule="atLeast"/>
          <w:tblCellSpacing w:w="7" w:type="dxa"/>
        </w:trPr>
        <w:tc>
          <w:tcPr>
            <w:tcW w:w="7092"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Estudios Avanzados en Humanidades (*)人文学高级研究</w:t>
            </w:r>
          </w:p>
        </w:tc>
        <w:tc>
          <w:tcPr>
            <w:tcW w:w="1200"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60</w:t>
            </w:r>
          </w:p>
        </w:tc>
      </w:tr>
    </w:tbl>
    <w:p>
      <w:pPr>
        <w:rPr>
          <w:rFonts w:hint="eastAsia" w:ascii="宋体" w:hAnsi="宋体" w:eastAsia="宋体" w:cs="宋体"/>
          <w:color w:val="333333"/>
          <w:kern w:val="0"/>
          <w:szCs w:val="21"/>
          <w:shd w:val="clear" w:color="auto" w:fill="FFFFFF"/>
        </w:rPr>
      </w:pPr>
      <w:r>
        <w:rPr>
          <w:rFonts w:ascii="宋体" w:hAnsi="宋体" w:eastAsia="宋体" w:cs="宋体"/>
          <w:color w:val="333333"/>
          <w:kern w:val="0"/>
          <w:szCs w:val="21"/>
        </w:rPr>
        <w:br/>
      </w:r>
      <w:r>
        <w:rPr>
          <w:rFonts w:ascii="宋体" w:hAnsi="宋体" w:eastAsia="宋体" w:cs="宋体"/>
          <w:color w:val="333333"/>
          <w:kern w:val="0"/>
          <w:szCs w:val="21"/>
          <w:shd w:val="clear" w:color="auto" w:fill="FFFFFF"/>
        </w:rPr>
        <w:t>(*) 新开硕士课程：由大学委员会审核后（接受入学）</w:t>
      </w:r>
      <w:r>
        <w:rPr>
          <w:rFonts w:ascii="宋体" w:hAnsi="宋体" w:eastAsia="宋体" w:cs="宋体"/>
          <w:color w:val="333333"/>
          <w:kern w:val="0"/>
          <w:szCs w:val="21"/>
        </w:rPr>
        <w:br/>
      </w:r>
      <w:r>
        <w:rPr>
          <w:rFonts w:ascii="宋体" w:hAnsi="宋体" w:eastAsia="宋体" w:cs="宋体"/>
          <w:color w:val="333333"/>
          <w:kern w:val="0"/>
          <w:szCs w:val="21"/>
          <w:shd w:val="clear" w:color="auto" w:fill="FFFFFF"/>
        </w:rPr>
        <w:t>(**)在莱里达大学授课</w:t>
      </w:r>
      <w:r>
        <w:rPr>
          <w:rFonts w:ascii="宋体" w:hAnsi="宋体" w:eastAsia="宋体" w:cs="宋体"/>
          <w:color w:val="333333"/>
          <w:kern w:val="0"/>
          <w:szCs w:val="21"/>
        </w:rPr>
        <w:br/>
      </w:r>
      <w:r>
        <w:rPr>
          <w:rFonts w:ascii="宋体" w:hAnsi="宋体" w:eastAsia="宋体" w:cs="宋体"/>
          <w:color w:val="333333"/>
          <w:kern w:val="0"/>
          <w:szCs w:val="21"/>
          <w:shd w:val="clear" w:color="auto" w:fill="FFFFFF"/>
        </w:rPr>
        <w:t>(***)在巴塞罗那大学授课</w:t>
      </w:r>
    </w:p>
    <w:p>
      <w:pPr>
        <w:rPr>
          <w:rFonts w:hint="eastAsia" w:ascii="宋体" w:hAnsi="宋体" w:eastAsia="宋体" w:cs="宋体"/>
          <w:color w:val="333333"/>
          <w:kern w:val="0"/>
          <w:szCs w:val="21"/>
          <w:shd w:val="clear" w:color="auto" w:fill="FFFFFF"/>
        </w:rPr>
      </w:pPr>
    </w:p>
    <w:p>
      <w:pPr>
        <w:rPr>
          <w:rFonts w:hint="eastAsia" w:ascii="宋体" w:hAnsi="宋体" w:eastAsia="宋体" w:cs="宋体"/>
          <w:color w:val="333333"/>
          <w:kern w:val="0"/>
          <w:szCs w:val="21"/>
          <w:shd w:val="clear" w:color="auto" w:fill="FFFFFF"/>
        </w:rPr>
      </w:pPr>
    </w:p>
    <w:p>
      <w:pPr>
        <w:rPr>
          <w:rFonts w:hint="eastAsia" w:ascii="宋体" w:hAnsi="宋体" w:eastAsia="宋体" w:cs="宋体"/>
          <w:color w:val="333333"/>
          <w:kern w:val="0"/>
          <w:szCs w:val="21"/>
          <w:shd w:val="clear" w:color="auto" w:fill="FFFFFF"/>
        </w:rPr>
      </w:pPr>
    </w:p>
    <w:p>
      <w:pPr>
        <w:rPr>
          <w:rFonts w:hint="eastAsia" w:ascii="宋体" w:hAnsi="宋体" w:eastAsia="宋体" w:cs="宋体"/>
          <w:color w:val="FF0000"/>
          <w:kern w:val="0"/>
          <w:sz w:val="36"/>
          <w:szCs w:val="36"/>
          <w:shd w:val="clear" w:color="auto" w:fill="FFFFFF"/>
        </w:rPr>
      </w:pPr>
    </w:p>
    <w:p>
      <w:pPr>
        <w:rPr>
          <w:rFonts w:hint="eastAsia" w:ascii="宋体" w:hAnsi="宋体" w:eastAsia="宋体" w:cs="宋体"/>
          <w:color w:val="FF0000"/>
          <w:kern w:val="0"/>
          <w:sz w:val="36"/>
          <w:szCs w:val="36"/>
          <w:shd w:val="clear" w:color="auto" w:fill="FFFFFF"/>
        </w:rPr>
      </w:pPr>
      <w:r>
        <w:rPr>
          <w:rFonts w:hint="eastAsia" w:ascii="宋体" w:hAnsi="宋体" w:eastAsia="宋体" w:cs="宋体"/>
          <w:color w:val="FF0000"/>
          <w:kern w:val="0"/>
          <w:sz w:val="36"/>
          <w:szCs w:val="36"/>
          <w:shd w:val="clear" w:color="auto" w:fill="FFFFFF"/>
        </w:rPr>
        <w:t>阿尔卡拉大学</w:t>
      </w:r>
    </w:p>
    <w:p>
      <w:pPr>
        <w:rPr>
          <w:rFonts w:hint="eastAsia" w:ascii="宋体" w:hAnsi="宋体" w:eastAsia="宋体" w:cs="宋体"/>
          <w:color w:val="C00000"/>
          <w:kern w:val="0"/>
          <w:sz w:val="28"/>
          <w:szCs w:val="28"/>
          <w:shd w:val="clear" w:color="auto" w:fill="FFFFFF"/>
        </w:rPr>
      </w:pPr>
      <w:r>
        <w:rPr>
          <w:rFonts w:hint="eastAsia" w:ascii="宋体" w:hAnsi="宋体" w:eastAsia="宋体" w:cs="宋体"/>
          <w:color w:val="C00000"/>
          <w:kern w:val="0"/>
          <w:sz w:val="28"/>
          <w:szCs w:val="28"/>
          <w:shd w:val="clear" w:color="auto" w:fill="FFFFFF"/>
        </w:rPr>
        <w:t>院校简介</w:t>
      </w:r>
    </w:p>
    <w:p>
      <w:pPr>
        <w:rPr>
          <w:rFonts w:hint="eastAsia" w:ascii="宋体" w:hAnsi="宋体" w:eastAsia="宋体" w:cs="宋体"/>
          <w:color w:val="FF0000"/>
          <w:kern w:val="0"/>
          <w:sz w:val="36"/>
          <w:szCs w:val="36"/>
          <w:shd w:val="clear" w:color="auto" w:fill="FFFFFF"/>
        </w:rPr>
      </w:pPr>
      <w:r>
        <w:rPr>
          <w:rFonts w:hint="eastAsia" w:ascii="宋体" w:hAnsi="宋体" w:eastAsia="宋体" w:cs="宋体"/>
          <w:color w:val="333333"/>
          <w:szCs w:val="21"/>
          <w:shd w:val="clear" w:color="auto" w:fill="FFFFFF"/>
        </w:rPr>
        <w:t>◎</w:t>
      </w:r>
      <w:r>
        <w:rPr>
          <w:rFonts w:ascii="宋体" w:hAnsi="宋体"/>
          <w:color w:val="333333"/>
          <w:szCs w:val="21"/>
          <w:shd w:val="clear" w:color="auto" w:fill="FFFFFF"/>
        </w:rPr>
        <w:t>悠久历史：500多年校史，塞万提斯故乡</w:t>
      </w:r>
      <w:r>
        <w:rPr>
          <w:rStyle w:val="9"/>
          <w:rFonts w:ascii="宋体" w:hAnsi="宋体"/>
          <w:color w:val="333333"/>
          <w:szCs w:val="21"/>
          <w:shd w:val="clear" w:color="auto" w:fill="FFFFFF"/>
        </w:rPr>
        <w:t> </w:t>
      </w:r>
      <w:r>
        <w:rPr>
          <w:rFonts w:ascii="宋体" w:hAnsi="宋体"/>
          <w:color w:val="333333"/>
          <w:szCs w:val="21"/>
        </w:rPr>
        <w:br/>
      </w:r>
      <w:r>
        <w:rPr>
          <w:rFonts w:hint="eastAsia" w:ascii="宋体" w:hAnsi="宋体" w:eastAsia="宋体" w:cs="宋体"/>
          <w:color w:val="333333"/>
          <w:szCs w:val="21"/>
          <w:shd w:val="clear" w:color="auto" w:fill="FFFFFF"/>
        </w:rPr>
        <w:t>◎</w:t>
      </w:r>
      <w:r>
        <w:rPr>
          <w:rFonts w:ascii="Times New Roman" w:hAnsi="Times New Roman" w:cs="Times New Roman"/>
          <w:color w:val="333333"/>
          <w:szCs w:val="21"/>
          <w:shd w:val="clear" w:color="auto" w:fill="FFFFFF"/>
        </w:rPr>
        <w:t xml:space="preserve"> </w:t>
      </w:r>
      <w:r>
        <w:rPr>
          <w:rFonts w:ascii="宋体" w:hAnsi="宋体"/>
          <w:color w:val="333333"/>
          <w:szCs w:val="21"/>
          <w:shd w:val="clear" w:color="auto" w:fill="FFFFFF"/>
        </w:rPr>
        <w:t>绝佳位置：位于马德里近郊，繁华与宁静并蓄</w:t>
      </w:r>
      <w:r>
        <w:rPr>
          <w:rStyle w:val="9"/>
          <w:rFonts w:ascii="宋体" w:hAnsi="宋体"/>
          <w:color w:val="333333"/>
          <w:szCs w:val="21"/>
          <w:shd w:val="clear" w:color="auto" w:fill="FFFFFF"/>
        </w:rPr>
        <w:t> </w:t>
      </w:r>
      <w:r>
        <w:rPr>
          <w:rFonts w:ascii="宋体" w:hAnsi="宋体"/>
          <w:color w:val="333333"/>
          <w:szCs w:val="21"/>
        </w:rPr>
        <w:br/>
      </w:r>
      <w:r>
        <w:rPr>
          <w:rFonts w:hint="eastAsia" w:ascii="宋体" w:hAnsi="宋体" w:eastAsia="宋体" w:cs="宋体"/>
          <w:color w:val="333333"/>
          <w:szCs w:val="21"/>
          <w:shd w:val="clear" w:color="auto" w:fill="FFFFFF"/>
        </w:rPr>
        <w:t>◎</w:t>
      </w:r>
      <w:r>
        <w:rPr>
          <w:rFonts w:ascii="Times New Roman" w:hAnsi="Times New Roman" w:cs="Times New Roman"/>
          <w:color w:val="333333"/>
          <w:szCs w:val="21"/>
          <w:shd w:val="clear" w:color="auto" w:fill="FFFFFF"/>
        </w:rPr>
        <w:t xml:space="preserve"> </w:t>
      </w:r>
      <w:r>
        <w:rPr>
          <w:rFonts w:ascii="宋体" w:hAnsi="宋体"/>
          <w:color w:val="333333"/>
          <w:szCs w:val="21"/>
          <w:shd w:val="clear" w:color="auto" w:fill="FFFFFF"/>
        </w:rPr>
        <w:t>正宗语言：100%卡斯蒂利亚语</w:t>
      </w:r>
      <w:r>
        <w:rPr>
          <w:rStyle w:val="9"/>
          <w:rFonts w:ascii="宋体" w:hAnsi="宋体"/>
          <w:color w:val="333333"/>
          <w:szCs w:val="21"/>
          <w:shd w:val="clear" w:color="auto" w:fill="FFFFFF"/>
        </w:rPr>
        <w:t> </w:t>
      </w:r>
      <w:r>
        <w:rPr>
          <w:rFonts w:ascii="宋体" w:hAnsi="宋体"/>
          <w:color w:val="333333"/>
          <w:szCs w:val="21"/>
        </w:rPr>
        <w:br/>
      </w:r>
      <w:r>
        <w:rPr>
          <w:rFonts w:hint="eastAsia" w:ascii="宋体" w:hAnsi="宋体" w:eastAsia="宋体" w:cs="宋体"/>
          <w:color w:val="333333"/>
          <w:szCs w:val="21"/>
          <w:shd w:val="clear" w:color="auto" w:fill="FFFFFF"/>
        </w:rPr>
        <w:t>◎</w:t>
      </w:r>
      <w:r>
        <w:rPr>
          <w:rFonts w:ascii="Times New Roman" w:hAnsi="Times New Roman" w:cs="Times New Roman"/>
          <w:color w:val="333333"/>
          <w:szCs w:val="21"/>
          <w:shd w:val="clear" w:color="auto" w:fill="FFFFFF"/>
        </w:rPr>
        <w:t xml:space="preserve"> </w:t>
      </w:r>
      <w:r>
        <w:rPr>
          <w:rFonts w:ascii="宋体" w:hAnsi="宋体"/>
          <w:color w:val="333333"/>
          <w:szCs w:val="21"/>
          <w:shd w:val="clear" w:color="auto" w:fill="FFFFFF"/>
        </w:rPr>
        <w:t>惊喜价格：生活费只有马德里一半</w:t>
      </w:r>
      <w:r>
        <w:rPr>
          <w:rStyle w:val="9"/>
          <w:rFonts w:ascii="宋体" w:hAnsi="宋体"/>
          <w:color w:val="333333"/>
          <w:szCs w:val="21"/>
          <w:shd w:val="clear" w:color="auto" w:fill="FFFFFF"/>
        </w:rPr>
        <w:t> </w:t>
      </w:r>
      <w:r>
        <w:rPr>
          <w:rFonts w:ascii="宋体" w:hAnsi="宋体"/>
          <w:color w:val="333333"/>
          <w:szCs w:val="21"/>
        </w:rPr>
        <w:br/>
      </w:r>
      <w:r>
        <w:rPr>
          <w:rFonts w:hint="eastAsia" w:ascii="宋体" w:hAnsi="宋体" w:eastAsia="宋体" w:cs="宋体"/>
          <w:color w:val="333333"/>
          <w:szCs w:val="21"/>
          <w:shd w:val="clear" w:color="auto" w:fill="FFFFFF"/>
        </w:rPr>
        <w:t>◎</w:t>
      </w:r>
      <w:r>
        <w:rPr>
          <w:rFonts w:ascii="Times New Roman" w:hAnsi="Times New Roman" w:cs="Times New Roman"/>
          <w:color w:val="333333"/>
          <w:szCs w:val="21"/>
          <w:shd w:val="clear" w:color="auto" w:fill="FFFFFF"/>
        </w:rPr>
        <w:t xml:space="preserve"> </w:t>
      </w:r>
      <w:r>
        <w:rPr>
          <w:rFonts w:ascii="宋体" w:hAnsi="宋体"/>
          <w:color w:val="333333"/>
          <w:szCs w:val="21"/>
          <w:shd w:val="clear" w:color="auto" w:fill="FFFFFF"/>
        </w:rPr>
        <w:t>绝对安全：规避一切生活在大都市中的安全隐患</w:t>
      </w:r>
      <w:r>
        <w:rPr>
          <w:rStyle w:val="9"/>
          <w:rFonts w:ascii="宋体" w:hAnsi="宋体"/>
          <w:color w:val="333333"/>
          <w:szCs w:val="21"/>
          <w:shd w:val="clear" w:color="auto" w:fill="FFFFFF"/>
        </w:rPr>
        <w:t> </w:t>
      </w:r>
      <w:r>
        <w:rPr>
          <w:rFonts w:ascii="宋体" w:hAnsi="宋体"/>
          <w:color w:val="333333"/>
          <w:szCs w:val="21"/>
        </w:rPr>
        <w:br/>
      </w:r>
      <w:r>
        <w:rPr>
          <w:rFonts w:hint="eastAsia" w:ascii="宋体" w:hAnsi="宋体" w:eastAsia="宋体" w:cs="宋体"/>
          <w:color w:val="333333"/>
          <w:szCs w:val="21"/>
          <w:shd w:val="clear" w:color="auto" w:fill="FFFFFF"/>
        </w:rPr>
        <w:t>◎</w:t>
      </w:r>
      <w:r>
        <w:rPr>
          <w:rFonts w:ascii="Times New Roman" w:hAnsi="Times New Roman" w:cs="Times New Roman"/>
          <w:color w:val="333333"/>
          <w:szCs w:val="21"/>
          <w:shd w:val="clear" w:color="auto" w:fill="FFFFFF"/>
        </w:rPr>
        <w:t xml:space="preserve"> </w:t>
      </w:r>
      <w:r>
        <w:rPr>
          <w:rFonts w:ascii="宋体" w:hAnsi="宋体"/>
          <w:color w:val="333333"/>
          <w:szCs w:val="21"/>
          <w:shd w:val="clear" w:color="auto" w:fill="FFFFFF"/>
        </w:rPr>
        <w:t>多元学科：广泛的从本科到博士的多元学科设置</w:t>
      </w:r>
      <w:r>
        <w:rPr>
          <w:rStyle w:val="9"/>
          <w:rFonts w:ascii="宋体" w:hAnsi="宋体"/>
          <w:color w:val="333333"/>
          <w:szCs w:val="21"/>
          <w:shd w:val="clear" w:color="auto" w:fill="FFFFFF"/>
        </w:rPr>
        <w:t> </w:t>
      </w:r>
      <w:r>
        <w:rPr>
          <w:rFonts w:ascii="宋体" w:hAnsi="宋体"/>
          <w:color w:val="333333"/>
          <w:szCs w:val="21"/>
        </w:rPr>
        <w:br/>
      </w:r>
      <w:r>
        <w:rPr>
          <w:rFonts w:hint="eastAsia" w:ascii="宋体" w:hAnsi="宋体" w:eastAsia="宋体" w:cs="宋体"/>
          <w:color w:val="333333"/>
          <w:szCs w:val="21"/>
          <w:shd w:val="clear" w:color="auto" w:fill="FFFFFF"/>
        </w:rPr>
        <w:t>◎</w:t>
      </w:r>
      <w:r>
        <w:rPr>
          <w:rFonts w:ascii="Times New Roman" w:hAnsi="Times New Roman" w:cs="Times New Roman"/>
          <w:color w:val="333333"/>
          <w:szCs w:val="21"/>
          <w:shd w:val="clear" w:color="auto" w:fill="FFFFFF"/>
        </w:rPr>
        <w:t xml:space="preserve"> </w:t>
      </w:r>
      <w:r>
        <w:rPr>
          <w:rFonts w:ascii="宋体" w:hAnsi="宋体"/>
          <w:color w:val="333333"/>
          <w:szCs w:val="21"/>
          <w:shd w:val="clear" w:color="auto" w:fill="FFFFFF"/>
        </w:rPr>
        <w:t>国际认证：卓越教学质量获欧洲高等教育系统47国认可</w:t>
      </w:r>
      <w:r>
        <w:rPr>
          <w:rStyle w:val="9"/>
          <w:rFonts w:ascii="宋体" w:hAnsi="宋体"/>
          <w:color w:val="333333"/>
          <w:szCs w:val="21"/>
          <w:shd w:val="clear" w:color="auto" w:fill="FFFFFF"/>
        </w:rPr>
        <w:t> </w:t>
      </w:r>
      <w:r>
        <w:rPr>
          <w:rFonts w:ascii="宋体" w:hAnsi="宋体"/>
          <w:color w:val="333333"/>
          <w:szCs w:val="21"/>
        </w:rPr>
        <w:br/>
      </w:r>
      <w:r>
        <w:rPr>
          <w:rFonts w:hint="eastAsia" w:ascii="宋体" w:hAnsi="宋体" w:eastAsia="宋体" w:cs="宋体"/>
          <w:color w:val="333333"/>
          <w:szCs w:val="21"/>
          <w:shd w:val="clear" w:color="auto" w:fill="FFFFFF"/>
        </w:rPr>
        <w:t>◎</w:t>
      </w:r>
      <w:r>
        <w:rPr>
          <w:rFonts w:ascii="Times New Roman" w:hAnsi="Times New Roman" w:cs="Times New Roman"/>
          <w:color w:val="333333"/>
          <w:szCs w:val="21"/>
          <w:shd w:val="clear" w:color="auto" w:fill="FFFFFF"/>
        </w:rPr>
        <w:t xml:space="preserve"> </w:t>
      </w:r>
      <w:r>
        <w:rPr>
          <w:rFonts w:ascii="宋体" w:hAnsi="宋体"/>
          <w:color w:val="333333"/>
          <w:szCs w:val="21"/>
          <w:shd w:val="clear" w:color="auto" w:fill="FFFFFF"/>
        </w:rPr>
        <w:t>关注发展：拥有实习就业指导中心</w:t>
      </w:r>
      <w:r>
        <w:rPr>
          <w:rStyle w:val="9"/>
          <w:rFonts w:ascii="宋体" w:hAnsi="宋体"/>
          <w:color w:val="333333"/>
          <w:szCs w:val="21"/>
          <w:shd w:val="clear" w:color="auto" w:fill="FFFFFF"/>
        </w:rPr>
        <w:t> </w:t>
      </w:r>
      <w:r>
        <w:rPr>
          <w:rFonts w:ascii="宋体" w:hAnsi="宋体"/>
          <w:color w:val="333333"/>
          <w:szCs w:val="21"/>
        </w:rPr>
        <w:br/>
      </w:r>
      <w:r>
        <w:rPr>
          <w:rFonts w:hint="eastAsia" w:ascii="宋体" w:hAnsi="宋体" w:eastAsia="宋体" w:cs="宋体"/>
          <w:color w:val="333333"/>
          <w:szCs w:val="21"/>
          <w:shd w:val="clear" w:color="auto" w:fill="FFFFFF"/>
        </w:rPr>
        <w:t>◎</w:t>
      </w:r>
      <w:r>
        <w:rPr>
          <w:rFonts w:ascii="Times New Roman" w:hAnsi="Times New Roman" w:cs="Times New Roman"/>
          <w:color w:val="333333"/>
          <w:szCs w:val="21"/>
          <w:shd w:val="clear" w:color="auto" w:fill="FFFFFF"/>
        </w:rPr>
        <w:t xml:space="preserve"> </w:t>
      </w:r>
      <w:r>
        <w:rPr>
          <w:rFonts w:ascii="宋体" w:hAnsi="宋体"/>
          <w:color w:val="333333"/>
          <w:szCs w:val="21"/>
          <w:shd w:val="clear" w:color="auto" w:fill="FFFFFF"/>
        </w:rPr>
        <w:t>丰富生活：各类学生社团百花齐放</w:t>
      </w:r>
      <w:r>
        <w:rPr>
          <w:rStyle w:val="9"/>
          <w:rFonts w:ascii="宋体" w:hAnsi="宋体"/>
          <w:color w:val="333333"/>
          <w:szCs w:val="21"/>
          <w:shd w:val="clear" w:color="auto" w:fill="FFFFFF"/>
        </w:rPr>
        <w:t> </w:t>
      </w:r>
      <w:r>
        <w:rPr>
          <w:rFonts w:ascii="宋体" w:hAnsi="宋体"/>
          <w:color w:val="333333"/>
          <w:szCs w:val="21"/>
        </w:rPr>
        <w:br/>
      </w:r>
      <w:r>
        <w:rPr>
          <w:rFonts w:hint="eastAsia" w:ascii="宋体" w:hAnsi="宋体" w:eastAsia="宋体" w:cs="宋体"/>
          <w:color w:val="333333"/>
          <w:szCs w:val="21"/>
          <w:shd w:val="clear" w:color="auto" w:fill="FFFFFF"/>
        </w:rPr>
        <w:t>◎</w:t>
      </w:r>
      <w:r>
        <w:rPr>
          <w:rFonts w:ascii="Times New Roman" w:hAnsi="Times New Roman" w:cs="Times New Roman"/>
          <w:color w:val="333333"/>
          <w:szCs w:val="21"/>
          <w:shd w:val="clear" w:color="auto" w:fill="FFFFFF"/>
        </w:rPr>
        <w:t xml:space="preserve"> </w:t>
      </w:r>
      <w:r>
        <w:rPr>
          <w:rFonts w:ascii="宋体" w:hAnsi="宋体"/>
          <w:color w:val="333333"/>
          <w:szCs w:val="21"/>
          <w:shd w:val="clear" w:color="auto" w:fill="FFFFFF"/>
        </w:rPr>
        <w:t>学生之都：阿尔卡拉城=阿尔卡拉大学</w:t>
      </w:r>
      <w:r>
        <w:rPr>
          <w:rStyle w:val="9"/>
          <w:rFonts w:ascii="宋体" w:hAnsi="宋体"/>
          <w:color w:val="333333"/>
          <w:szCs w:val="21"/>
          <w:shd w:val="clear" w:color="auto" w:fill="FFFFFF"/>
        </w:rPr>
        <w:t> </w:t>
      </w:r>
      <w:r>
        <w:rPr>
          <w:rFonts w:ascii="宋体" w:hAnsi="宋体"/>
          <w:color w:val="333333"/>
          <w:szCs w:val="21"/>
        </w:rPr>
        <w:br/>
      </w:r>
      <w:r>
        <w:rPr>
          <w:rFonts w:hint="eastAsia" w:ascii="宋体" w:hAnsi="宋体" w:eastAsia="宋体" w:cs="宋体"/>
          <w:color w:val="333333"/>
          <w:szCs w:val="21"/>
          <w:shd w:val="clear" w:color="auto" w:fill="FFFFFF"/>
        </w:rPr>
        <w:t>◎</w:t>
      </w:r>
      <w:r>
        <w:rPr>
          <w:rFonts w:ascii="Times New Roman" w:hAnsi="Times New Roman" w:cs="Times New Roman"/>
          <w:color w:val="333333"/>
          <w:szCs w:val="21"/>
          <w:shd w:val="clear" w:color="auto" w:fill="FFFFFF"/>
        </w:rPr>
        <w:t xml:space="preserve"> </w:t>
      </w:r>
      <w:r>
        <w:rPr>
          <w:rFonts w:ascii="宋体" w:hAnsi="宋体"/>
          <w:color w:val="333333"/>
          <w:szCs w:val="21"/>
          <w:shd w:val="clear" w:color="auto" w:fill="FFFFFF"/>
        </w:rPr>
        <w:t>官方考点：西班牙政府塞万提斯学院认证的西班牙语国际等级考试DELE考试的官方考点</w:t>
      </w:r>
      <w:r>
        <w:rPr>
          <w:rStyle w:val="9"/>
          <w:rFonts w:ascii="宋体" w:hAnsi="宋体"/>
          <w:color w:val="333333"/>
          <w:szCs w:val="21"/>
          <w:shd w:val="clear" w:color="auto" w:fill="FFFFFF"/>
        </w:rPr>
        <w:t> </w:t>
      </w:r>
    </w:p>
    <w:p>
      <w:pPr>
        <w:widowControl/>
        <w:jc w:val="left"/>
        <w:rPr>
          <w:rFonts w:ascii="宋体" w:hAnsi="宋体" w:eastAsia="宋体" w:cs="宋体"/>
          <w:kern w:val="0"/>
          <w:sz w:val="24"/>
          <w:szCs w:val="24"/>
        </w:rPr>
      </w:pPr>
      <w:r>
        <w:rPr>
          <w:rFonts w:ascii="宋体" w:hAnsi="宋体" w:eastAsia="宋体" w:cs="宋体"/>
          <w:b/>
          <w:bCs/>
          <w:color w:val="C00808"/>
          <w:kern w:val="0"/>
          <w:szCs w:val="21"/>
          <w:shd w:val="clear" w:color="auto" w:fill="FFFFFF"/>
        </w:rPr>
        <w:t>硕士学位课程</w:t>
      </w:r>
      <w:r>
        <w:rPr>
          <w:rFonts w:ascii="宋体" w:hAnsi="宋体" w:eastAsia="宋体" w:cs="宋体"/>
          <w:color w:val="333333"/>
          <w:kern w:val="0"/>
          <w:szCs w:val="21"/>
        </w:rPr>
        <w:br/>
      </w:r>
      <w:r>
        <w:rPr>
          <w:rFonts w:ascii="宋体" w:hAnsi="宋体" w:eastAsia="宋体" w:cs="宋体"/>
          <w:color w:val="333333"/>
          <w:kern w:val="0"/>
          <w:szCs w:val="21"/>
          <w:shd w:val="clear" w:color="auto" w:fill="FFFFFF"/>
        </w:rPr>
        <w:t>阿尔卡拉大学官方硕士是根据欧洲高等教育体制而设立带有官方承认学历特色的硕士。学校学科涵盖了医学，理工科学，建筑工程学，社会学，法学，以及人文艺术学等方面，学生只需要获得60-120个学分即可完成以上学科领域的高等教育。我们官方硕士的大多数专业都与校外机构或是企业进行合作，可以满足学生多方面的要求，无论是对于学术的追求，或是专业的调查研究，或是从事企业工作等。</w:t>
      </w:r>
    </w:p>
    <w:tbl>
      <w:tblPr>
        <w:tblW w:w="8334" w:type="dxa"/>
        <w:tblCellSpacing w:w="7"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CCCCCC"/>
        <w:tblLayout w:type="fixed"/>
        <w:tblCellMar>
          <w:left w:w="0" w:type="dxa"/>
          <w:right w:w="0" w:type="dxa"/>
        </w:tblCellMar>
      </w:tblPr>
      <w:tblGrid>
        <w:gridCol w:w="4360"/>
        <w:gridCol w:w="1886"/>
        <w:gridCol w:w="1026"/>
        <w:gridCol w:w="1062"/>
      </w:tblGrid>
      <w:tr>
        <w:trPr>
          <w:tblCellSpacing w:w="7" w:type="dxa"/>
        </w:trPr>
        <w:tc>
          <w:tcPr>
            <w:tcW w:w="4339" w:type="dxa"/>
            <w:shd w:val="clear" w:color="auto" w:fill="EAEAEA"/>
            <w:vAlign w:val="top"/>
          </w:tcPr>
          <w:p>
            <w:pPr>
              <w:widowControl/>
              <w:jc w:val="left"/>
              <w:rPr>
                <w:rFonts w:hint="eastAsia" w:ascii="宋体" w:hAnsi="宋体" w:eastAsia="宋体" w:cs="宋体"/>
                <w:color w:val="333333"/>
                <w:kern w:val="0"/>
                <w:sz w:val="18"/>
                <w:szCs w:val="18"/>
              </w:rPr>
            </w:pPr>
          </w:p>
        </w:tc>
        <w:tc>
          <w:tcPr>
            <w:tcW w:w="1872" w:type="dxa"/>
            <w:shd w:val="clear" w:color="auto" w:fill="EAEAEA"/>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学分</w:t>
            </w:r>
          </w:p>
        </w:tc>
        <w:tc>
          <w:tcPr>
            <w:tcW w:w="1012" w:type="dxa"/>
            <w:shd w:val="clear" w:color="auto" w:fill="EAEAEA"/>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价格</w:t>
            </w:r>
          </w:p>
        </w:tc>
        <w:tc>
          <w:tcPr>
            <w:tcW w:w="1041" w:type="dxa"/>
            <w:shd w:val="clear" w:color="auto" w:fill="EAEAEA"/>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授课语言</w:t>
            </w:r>
          </w:p>
        </w:tc>
      </w:tr>
      <w:tr>
        <w:trPr>
          <w:tblCellSpacing w:w="7" w:type="dxa"/>
        </w:trPr>
        <w:tc>
          <w:tcPr>
            <w:tcW w:w="8306" w:type="dxa"/>
            <w:gridSpan w:val="4"/>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社会学与法学类</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ANáLISIS ECONóMICO APLICADO应用经济分析硕士</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专业方向：</w:t>
            </w:r>
          </w:p>
          <w:p>
            <w:pPr>
              <w:widowControl/>
              <w:numPr>
                <w:ilvl w:val="0"/>
                <w:numId w:val="1"/>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Economía Ambiental 环境经济</w:t>
            </w:r>
          </w:p>
          <w:p>
            <w:pPr>
              <w:widowControl/>
              <w:numPr>
                <w:ilvl w:val="0"/>
                <w:numId w:val="1"/>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Economía Industrial 工业经济</w:t>
            </w:r>
          </w:p>
          <w:p>
            <w:pPr>
              <w:widowControl/>
              <w:numPr>
                <w:ilvl w:val="0"/>
                <w:numId w:val="1"/>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Economía Laboral 劳动经济</w:t>
            </w:r>
          </w:p>
          <w:p>
            <w:pPr>
              <w:widowControl/>
              <w:numPr>
                <w:ilvl w:val="0"/>
                <w:numId w:val="1"/>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Economía Pública 公共经济</w:t>
            </w:r>
          </w:p>
          <w:p>
            <w:pPr>
              <w:widowControl/>
              <w:numPr>
                <w:ilvl w:val="0"/>
                <w:numId w:val="1"/>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Economía Regional 地区经济</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120学分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24,99€/学分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BANCA Y FINANZAS (FINANCE &amp; BANKING)</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金融银行学硕士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（网络面授）</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284 €/学分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英语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COMUNICACIóN Y APRENDIZAJE EN LA SOCIEDAD DIGITAL</w:t>
            </w:r>
            <w:r>
              <w:rPr>
                <w:rFonts w:ascii="宋体" w:hAnsi="宋体" w:eastAsia="宋体" w:cs="宋体"/>
                <w:color w:val="333333"/>
                <w:kern w:val="0"/>
                <w:sz w:val="18"/>
                <w:szCs w:val="18"/>
              </w:rPr>
              <w:br/>
            </w:r>
            <w:r>
              <w:rPr>
                <w:rFonts w:ascii="宋体" w:hAnsi="宋体" w:eastAsia="宋体" w:cs="宋体"/>
                <w:color w:val="333333"/>
                <w:kern w:val="0"/>
                <w:sz w:val="18"/>
                <w:szCs w:val="18"/>
              </w:rPr>
              <w:t>数字化社会的通讯与学习 硕士</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专业方向：</w:t>
            </w:r>
          </w:p>
          <w:p>
            <w:pPr>
              <w:widowControl/>
              <w:numPr>
                <w:ilvl w:val="0"/>
                <w:numId w:val="2"/>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Creadores y usuarios ante los nuevos medios 新媒体创造和使用</w:t>
            </w:r>
          </w:p>
          <w:p>
            <w:pPr>
              <w:widowControl/>
              <w:numPr>
                <w:ilvl w:val="0"/>
                <w:numId w:val="2"/>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Comunicación en contextos cotidianos 日常情景交流</w:t>
            </w:r>
          </w:p>
          <w:p>
            <w:pPr>
              <w:widowControl/>
              <w:numPr>
                <w:ilvl w:val="0"/>
                <w:numId w:val="2"/>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Organización y tratamiento de la información 信息处理和组织</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120学分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半面授</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选择一：十月到次年六月每周一15点到21点面授；</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选择二：远程教育，80%网络加20%面授和网络作业</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27,26€/学分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非欧盟：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40,89€/学分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CONTABILIDAD, AUDITORIA Y SUS EFECTOS EN LOS MERCADOS DE CAPITALES (MACAM)  会计学，审计学以及其在资本市场的效应硕士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90学分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24,99€/学分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DERECHO 法学硕士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24,99€/学分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DIRECCIóN DE EMPRESAS DE TURISMO 旅游商业管理硕士</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（备注：有机会在与阿尔卡拉大学有合作协议的外国大学学习一到两个学期的课程）</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120学分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29,58€/学分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非欧盟：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85,80€/学分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部分课程英文授课</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DIRECCIóN DE ORGANIZACIONES E INSTALACIONES DE LA ACTIVIDAD FíSICA Y DEL DEPORTE 日常活动及运动的组织及其设备管理硕士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90学分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31,79€/学分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非欧盟：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63,58€/学分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DOCENCIA UNIVERSITARIA  大学教育硕士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60学分，30%面授，70%网络</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27,26€/学分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非欧盟：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40,89€/学分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DOCUMENTACIóN 档案学硕士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60学分，半面授</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27,26€/学分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FORMACIóN DEL PROFESORADO DE ESO, BACHILLERATO, FORMACIóN PROFESIONAL Y ENSEÑANZA DE IDIOMAS</w:t>
            </w:r>
            <w:r>
              <w:rPr>
                <w:rFonts w:ascii="宋体" w:hAnsi="宋体" w:eastAsia="宋体" w:cs="宋体"/>
                <w:color w:val="333333"/>
                <w:kern w:val="0"/>
                <w:sz w:val="18"/>
                <w:szCs w:val="18"/>
              </w:rPr>
              <w:br/>
            </w:r>
            <w:r>
              <w:rPr>
                <w:rFonts w:ascii="宋体" w:hAnsi="宋体" w:eastAsia="宋体" w:cs="宋体"/>
                <w:color w:val="333333"/>
                <w:kern w:val="0"/>
                <w:sz w:val="18"/>
                <w:szCs w:val="18"/>
              </w:rPr>
              <w:t>中学，职业教育和语言教学师范硕士</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专业方向：</w:t>
            </w:r>
          </w:p>
          <w:p>
            <w:pPr>
              <w:widowControl/>
              <w:numPr>
                <w:ilvl w:val="0"/>
                <w:numId w:val="3"/>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Biología y Geología 生物和地质, Educación Física 体育教育, Física y Química 物理和化学, Geografía e Historia 地理和历史, Inglés 英语, Lengua Castellana y Literatura 西班牙语语言和文学, Matemáticas 数学, Orientación Educativa 教育方向指导, Tecnología 技术.</w:t>
            </w:r>
          </w:p>
          <w:p>
            <w:pPr>
              <w:widowControl/>
              <w:numPr>
                <w:ilvl w:val="0"/>
                <w:numId w:val="3"/>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2011-2012学年新增专业方向: Artes Plásticas y Visuales 视觉艺术， Música音乐</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24,99€/学分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非欧盟：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37,49€/学分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西班牙语，英语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INTEGRACIóN REGIONAL 区域一体化硕士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60学分，半面授</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58,33€/学分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MANAGEMENT Y GESTIóN DEL CAMBIO 变更管理硕士</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专业方向：</w:t>
            </w:r>
          </w:p>
          <w:p>
            <w:pPr>
              <w:widowControl/>
              <w:numPr>
                <w:ilvl w:val="0"/>
                <w:numId w:val="4"/>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Dirección de Operaciones en la Producción y los Servicios 生产和服务运行管理</w:t>
            </w:r>
          </w:p>
          <w:p>
            <w:pPr>
              <w:widowControl/>
              <w:numPr>
                <w:ilvl w:val="0"/>
                <w:numId w:val="4"/>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Dirección de Recursos Humanos 人力资源管理</w:t>
            </w:r>
          </w:p>
          <w:p>
            <w:pPr>
              <w:widowControl/>
              <w:numPr>
                <w:ilvl w:val="0"/>
                <w:numId w:val="4"/>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Logística 物流管理</w:t>
            </w:r>
          </w:p>
          <w:p>
            <w:pPr>
              <w:widowControl/>
              <w:numPr>
                <w:ilvl w:val="0"/>
                <w:numId w:val="4"/>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Sistemas de Información y sus Tecnologías   信息系统和技术</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120学分，半面授</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欧盟学生价格29,58 €/学分</w:t>
            </w:r>
            <w:r>
              <w:rPr>
                <w:rFonts w:ascii="宋体" w:hAnsi="宋体" w:eastAsia="宋体" w:cs="宋体"/>
                <w:color w:val="333333"/>
                <w:kern w:val="0"/>
                <w:sz w:val="18"/>
                <w:szCs w:val="18"/>
              </w:rPr>
              <w:br/>
            </w:r>
            <w:r>
              <w:rPr>
                <w:rFonts w:ascii="宋体" w:hAnsi="宋体" w:eastAsia="宋体" w:cs="宋体"/>
                <w:color w:val="333333"/>
                <w:kern w:val="0"/>
                <w:sz w:val="18"/>
                <w:szCs w:val="18"/>
              </w:rPr>
              <w:t>非欧盟学生价格85,80 €/学分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西班牙语、英语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MEMORIA Y CRíTICA DE LA EDUCACIóN 教育的记忆及评判硕士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60学分，半面授</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价格待定</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 </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PROTECCIóN INTERNACIONAL DE LOS DERECHOS HUMANOS 国际人权保护硕士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74,50€/学分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西班牙语、英语</w:t>
            </w:r>
          </w:p>
        </w:tc>
      </w:tr>
      <w:tr>
        <w:trPr>
          <w:tblCellSpacing w:w="7" w:type="dxa"/>
        </w:trPr>
        <w:tc>
          <w:tcPr>
            <w:tcW w:w="8306" w:type="dxa"/>
            <w:gridSpan w:val="4"/>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人文艺术类</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AMéRICA LATINA CONTEMPORáNEA Y SUS RELACIONES CON LA UNIóN EUROPEA: UNA COOPERACIóN ESTRATéGICA</w:t>
            </w:r>
            <w:r>
              <w:rPr>
                <w:rFonts w:ascii="宋体" w:hAnsi="宋体" w:eastAsia="宋体" w:cs="宋体"/>
                <w:color w:val="333333"/>
                <w:kern w:val="0"/>
                <w:sz w:val="18"/>
                <w:szCs w:val="18"/>
              </w:rPr>
              <w:br/>
            </w:r>
            <w:r>
              <w:rPr>
                <w:rFonts w:ascii="宋体" w:hAnsi="宋体" w:eastAsia="宋体" w:cs="宋体"/>
                <w:color w:val="333333"/>
                <w:kern w:val="0"/>
                <w:sz w:val="18"/>
                <w:szCs w:val="18"/>
              </w:rPr>
              <w:t>当代拉丁美洲及与欧盟关系：战略合作硕士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58,33€/学分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ARQUEOLOGíA Y GESTIóN DE PATRIMONIO EN EL INTERIOR PENINSULAR (AGEPIPE)</w:t>
            </w:r>
            <w:r>
              <w:rPr>
                <w:rFonts w:ascii="宋体" w:hAnsi="宋体" w:eastAsia="宋体" w:cs="宋体"/>
                <w:color w:val="333333"/>
                <w:kern w:val="0"/>
                <w:sz w:val="18"/>
                <w:szCs w:val="18"/>
              </w:rPr>
              <w:br/>
            </w:r>
            <w:r>
              <w:rPr>
                <w:rFonts w:ascii="宋体" w:hAnsi="宋体" w:eastAsia="宋体" w:cs="宋体"/>
                <w:color w:val="333333"/>
                <w:kern w:val="0"/>
                <w:sz w:val="18"/>
                <w:szCs w:val="18"/>
              </w:rPr>
              <w:t>伊比利亚内陆的考古与遗产管理硕士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面授与实习</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27,26€/学分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非欧盟：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40,89€/学分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COMUNICACIóN INTERCULTURAL, INTERPRETACIóN Y TRADUCCIóN EN LOS SERVICIOS PúBLICOS</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公共服务中的跨文化交流、笔译与口译硕士</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专业方向：</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b/>
                <w:bCs/>
                <w:color w:val="333333"/>
                <w:kern w:val="0"/>
                <w:sz w:val="18"/>
                <w:szCs w:val="18"/>
              </w:rPr>
              <w:t>Chino-Español</w:t>
            </w:r>
            <w:r>
              <w:rPr>
                <w:rFonts w:ascii="宋体" w:hAnsi="宋体" w:eastAsia="宋体" w:cs="宋体"/>
                <w:b/>
                <w:bCs/>
                <w:color w:val="333333"/>
                <w:kern w:val="0"/>
                <w:sz w:val="18"/>
              </w:rPr>
              <w:t> </w:t>
            </w:r>
            <w:r>
              <w:rPr>
                <w:rFonts w:ascii="宋体" w:hAnsi="宋体" w:eastAsia="宋体" w:cs="宋体"/>
                <w:b/>
                <w:bCs/>
                <w:color w:val="333333"/>
                <w:kern w:val="0"/>
                <w:sz w:val="18"/>
                <w:szCs w:val="18"/>
              </w:rPr>
              <w:t>中西翻译</w:t>
            </w:r>
            <w:r>
              <w:rPr>
                <w:rFonts w:ascii="宋体" w:hAnsi="宋体" w:eastAsia="宋体" w:cs="宋体"/>
                <w:color w:val="333333"/>
                <w:kern w:val="0"/>
                <w:sz w:val="18"/>
                <w:szCs w:val="18"/>
              </w:rPr>
              <w:t>, Inglés-Español 英西翻译</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60学分，半面授</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36,66€/学分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非欧盟：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40,89€/学分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西班牙语和所选语言</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CULTURA E IDEOLOGíA EN LA GéNESIS DE EUROPA</w:t>
            </w:r>
            <w:r>
              <w:rPr>
                <w:rFonts w:ascii="宋体" w:hAnsi="宋体" w:eastAsia="宋体" w:cs="宋体"/>
                <w:color w:val="333333"/>
                <w:kern w:val="0"/>
                <w:sz w:val="18"/>
                <w:szCs w:val="18"/>
              </w:rPr>
              <w:br/>
            </w:r>
            <w:r>
              <w:rPr>
                <w:rFonts w:ascii="宋体" w:hAnsi="宋体" w:eastAsia="宋体" w:cs="宋体"/>
                <w:color w:val="333333"/>
                <w:kern w:val="0"/>
                <w:sz w:val="18"/>
                <w:szCs w:val="18"/>
              </w:rPr>
              <w:t>欧洲文化意识形态成因硕士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24,99€/学分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非欧盟：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37,49€/学分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ENSEÑANZA DEL INGLéS COMO LENGUA EXTRANJERA</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英语外语教学硕士</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专业方向：</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-Especialidad en Developing English Teaching Skills</w:t>
            </w:r>
            <w:r>
              <w:rPr>
                <w:rFonts w:ascii="宋体" w:hAnsi="宋体" w:eastAsia="宋体" w:cs="宋体"/>
                <w:color w:val="333333"/>
                <w:kern w:val="0"/>
                <w:sz w:val="18"/>
                <w:szCs w:val="18"/>
              </w:rPr>
              <w:br/>
            </w:r>
            <w:r>
              <w:rPr>
                <w:rFonts w:ascii="宋体" w:hAnsi="宋体" w:eastAsia="宋体" w:cs="宋体"/>
                <w:color w:val="333333"/>
                <w:kern w:val="0"/>
                <w:sz w:val="18"/>
                <w:szCs w:val="18"/>
              </w:rPr>
              <w:t>英语教学技巧发展</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-Especialidad en Teaching English Through Literature</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通过文学作品进行英语教学</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-Especialidad en Teaching Through English in Bilingual Schools</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在双语学校英语教学</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60学分，半面授，</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27,26€/学分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非欧盟：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54,52€/学分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英语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ESTUDIOS NORTEAMERICANOS 美国研究硕士</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专业方向：</w:t>
            </w:r>
          </w:p>
          <w:p>
            <w:pPr>
              <w:widowControl/>
              <w:numPr>
                <w:ilvl w:val="0"/>
                <w:numId w:val="5"/>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Humanidades 人文研究</w:t>
            </w:r>
          </w:p>
          <w:p>
            <w:pPr>
              <w:widowControl/>
              <w:numPr>
                <w:ilvl w:val="0"/>
                <w:numId w:val="5"/>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Ciencias Sociales y Jurídicas 社会科学和法学</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24,99€/学分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非欧盟：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37,49€/学分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英语，西语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FILOLOGíA CLáSICA 古典语言文学硕士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授课地点：</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第一学期 马德里康普顿斯大学</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第二学期 马德里自治大学</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24,99€/学分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 </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FORMACIóN DE PROFESORES DE ESPAÑOL</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西班牙语教师培训硕士</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专业方向：</w:t>
            </w:r>
          </w:p>
          <w:p>
            <w:pPr>
              <w:widowControl/>
              <w:numPr>
                <w:ilvl w:val="0"/>
                <w:numId w:val="6"/>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Enseñanza de Español como Lengua Extranjera 西语作为外语教学</w:t>
            </w:r>
          </w:p>
          <w:p>
            <w:pPr>
              <w:widowControl/>
              <w:numPr>
                <w:ilvl w:val="0"/>
                <w:numId w:val="6"/>
              </w:numPr>
              <w:spacing w:line="420" w:lineRule="atLeast"/>
              <w:ind w:left="0"/>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Especialidad en Lengua Castellana y Literatura para Profesores de ESO 初中西语教学</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28,00€/学分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西语，英语</w:t>
            </w:r>
          </w:p>
        </w:tc>
      </w:tr>
      <w:tr>
        <w:trPr>
          <w:tblCellSpacing w:w="7" w:type="dxa"/>
        </w:trPr>
        <w:tc>
          <w:tcPr>
            <w:tcW w:w="433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HISTORIA DEL DRAMA 戏剧史硕士</w:t>
            </w:r>
          </w:p>
        </w:tc>
        <w:tc>
          <w:tcPr>
            <w:tcW w:w="187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60学分</w:t>
            </w:r>
          </w:p>
        </w:tc>
        <w:tc>
          <w:tcPr>
            <w:tcW w:w="101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24,99€/学分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非欧盟：</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37,49€/学分</w:t>
            </w:r>
          </w:p>
        </w:tc>
        <w:tc>
          <w:tcPr>
            <w:tcW w:w="1041"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西语</w:t>
            </w:r>
          </w:p>
        </w:tc>
      </w:tr>
    </w:tbl>
    <w:p>
      <w:pPr>
        <w:rPr>
          <w:color w:val="FF0000"/>
          <w:sz w:val="36"/>
          <w:szCs w:val="36"/>
        </w:rPr>
      </w:pPr>
    </w:p>
    <w:p>
      <w:pPr>
        <w:rPr>
          <w:rFonts w:hint="eastAsia"/>
          <w:color w:val="FF0000"/>
          <w:sz w:val="36"/>
          <w:szCs w:val="36"/>
        </w:rPr>
      </w:pPr>
      <w:bookmarkStart w:id="0" w:name="_GoBack"/>
      <w:bookmarkEnd w:id="0"/>
      <w:r>
        <w:rPr>
          <w:rFonts w:hint="eastAsia"/>
          <w:color w:val="FF0000"/>
          <w:sz w:val="36"/>
          <w:szCs w:val="36"/>
        </w:rPr>
        <w:t>卡斯蒂利亚拉曼查大学</w:t>
      </w:r>
    </w:p>
    <w:p>
      <w:pPr>
        <w:ind w:left="422" w:hanging="422" w:hangingChars="200"/>
        <w:rPr>
          <w:rFonts w:hint="eastAsia" w:ascii="宋体" w:hAnsi="宋体"/>
          <w:color w:val="333333"/>
          <w:szCs w:val="21"/>
        </w:rPr>
      </w:pPr>
      <w:r>
        <w:rPr>
          <w:rFonts w:ascii="宋体" w:hAnsi="宋体"/>
          <w:b/>
          <w:bCs/>
          <w:color w:val="C00808"/>
          <w:szCs w:val="21"/>
          <w:shd w:val="clear" w:color="auto" w:fill="FFFFFF"/>
        </w:rPr>
        <w:t>院校介绍</w:t>
      </w:r>
    </w:p>
    <w:p>
      <w:pPr>
        <w:ind w:firstLine="420" w:firstLineChars="200"/>
        <w:rPr>
          <w:rStyle w:val="9"/>
          <w:rFonts w:hint="eastAsia" w:ascii="宋体" w:hAnsi="宋体"/>
          <w:color w:val="333333"/>
          <w:szCs w:val="21"/>
          <w:shd w:val="clear" w:color="auto" w:fill="FFFFFF"/>
        </w:rPr>
      </w:pPr>
      <w:r>
        <w:rPr>
          <w:rFonts w:ascii="宋体" w:hAnsi="宋体"/>
          <w:color w:val="333333"/>
          <w:szCs w:val="21"/>
          <w:shd w:val="clear" w:color="auto" w:fill="FFFFFF"/>
        </w:rPr>
        <w:t>卡斯蒂利亚拉曼查大学建立于1982年6月30日，是西班牙中部地区的一所公立大学。大学隶属于西班牙教育部，学校总部位于雷阿尔城。</w:t>
      </w:r>
      <w:r>
        <w:rPr>
          <w:rStyle w:val="9"/>
          <w:rFonts w:ascii="宋体" w:hAnsi="宋体"/>
          <w:color w:val="333333"/>
          <w:szCs w:val="21"/>
          <w:shd w:val="clear" w:color="auto" w:fill="FFFFFF"/>
        </w:rPr>
        <w:t> </w:t>
      </w:r>
    </w:p>
    <w:p>
      <w:pPr>
        <w:ind w:firstLine="420" w:firstLineChars="200"/>
        <w:rPr>
          <w:rStyle w:val="9"/>
          <w:rFonts w:hint="eastAsia" w:ascii="宋体" w:hAnsi="宋体"/>
          <w:color w:val="333333"/>
          <w:szCs w:val="21"/>
          <w:shd w:val="clear" w:color="auto" w:fill="FFFFFF"/>
        </w:rPr>
      </w:pPr>
      <w:r>
        <w:rPr>
          <w:rFonts w:ascii="宋体" w:hAnsi="宋体"/>
          <w:color w:val="333333"/>
          <w:szCs w:val="21"/>
          <w:shd w:val="clear" w:color="auto" w:fill="FFFFFF"/>
        </w:rPr>
        <w:t>卡斯蒂利亚拉曼查大学现为在校学生颁发54个学位，其中包括18个学士学位，5个高级工程师学位，10个工程建筑师学位和相继其他课程的16个学位。卡斯蒂利亚拉曼查大学在2008学年开设了52个博士学科项目，30个硕士学位，125个特殊课程和5个专业课程学位。此外，学校还开设了250个国际课程便于各国同学进行学术交流。</w:t>
      </w:r>
      <w:r>
        <w:rPr>
          <w:rStyle w:val="9"/>
          <w:rFonts w:ascii="宋体" w:hAnsi="宋体"/>
          <w:color w:val="333333"/>
          <w:szCs w:val="21"/>
          <w:shd w:val="clear" w:color="auto" w:fill="FFFFFF"/>
        </w:rPr>
        <w:t> </w:t>
      </w:r>
    </w:p>
    <w:p>
      <w:pPr>
        <w:ind w:firstLine="420" w:firstLineChars="200"/>
        <w:rPr>
          <w:color w:val="FF0000"/>
          <w:sz w:val="36"/>
          <w:szCs w:val="36"/>
        </w:rPr>
      </w:pPr>
      <w:r>
        <w:rPr>
          <w:rFonts w:ascii="宋体" w:hAnsi="宋体"/>
          <w:color w:val="333333"/>
          <w:szCs w:val="21"/>
          <w:shd w:val="clear" w:color="auto" w:fill="FFFFFF"/>
        </w:rPr>
        <w:t>作为现代新型大学，卡斯蒂利亚拉曼查大学的校园网络设备非常发达和完善，学生可以在校园网址上找到各种学术、工作实习的信息；同时大学为每名同学提供独立上网账号和密码，无限网络覆盖整个校区，网络通讯非常发达。</w:t>
      </w:r>
    </w:p>
    <w:p>
      <w:pPr>
        <w:widowControl/>
        <w:jc w:val="left"/>
        <w:rPr>
          <w:rFonts w:ascii="宋体" w:hAnsi="宋体" w:eastAsia="宋体" w:cs="宋体"/>
          <w:kern w:val="0"/>
          <w:sz w:val="24"/>
          <w:szCs w:val="24"/>
        </w:rPr>
      </w:pPr>
      <w:r>
        <w:rPr>
          <w:rFonts w:ascii="宋体" w:hAnsi="宋体" w:eastAsia="宋体" w:cs="宋体"/>
          <w:b/>
          <w:bCs/>
          <w:color w:val="C00808"/>
          <w:kern w:val="0"/>
          <w:szCs w:val="21"/>
          <w:shd w:val="clear" w:color="auto" w:fill="FFFFFF"/>
        </w:rPr>
        <w:t>官方硕士课程列表</w:t>
      </w:r>
    </w:p>
    <w:tbl>
      <w:tblPr>
        <w:tblW w:w="8334" w:type="dxa"/>
        <w:tblCellSpacing w:w="7"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CCCCCC"/>
        <w:tblLayout w:type="fixed"/>
        <w:tblCellMar>
          <w:left w:w="0" w:type="dxa"/>
          <w:right w:w="0" w:type="dxa"/>
        </w:tblCellMar>
      </w:tblPr>
      <w:tblGrid>
        <w:gridCol w:w="4920"/>
        <w:gridCol w:w="959"/>
        <w:gridCol w:w="1332"/>
        <w:gridCol w:w="1123"/>
      </w:tblGrid>
      <w:tr>
        <w:trPr>
          <w:tblCellSpacing w:w="7" w:type="dxa"/>
        </w:trPr>
        <w:tc>
          <w:tcPr>
            <w:tcW w:w="4899" w:type="dxa"/>
            <w:shd w:val="clear" w:color="auto" w:fill="EAEAEA"/>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专业名称</w:t>
            </w:r>
          </w:p>
        </w:tc>
        <w:tc>
          <w:tcPr>
            <w:tcW w:w="945" w:type="dxa"/>
            <w:shd w:val="clear" w:color="auto" w:fill="EAEAEA"/>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学分</w:t>
            </w:r>
          </w:p>
        </w:tc>
        <w:tc>
          <w:tcPr>
            <w:tcW w:w="1318" w:type="dxa"/>
            <w:shd w:val="clear" w:color="auto" w:fill="EAEAEA"/>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价格</w:t>
            </w:r>
          </w:p>
        </w:tc>
        <w:tc>
          <w:tcPr>
            <w:tcW w:w="1102" w:type="dxa"/>
            <w:shd w:val="clear" w:color="auto" w:fill="EAEAEA"/>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b/>
                <w:bCs/>
                <w:color w:val="333333"/>
                <w:kern w:val="0"/>
                <w:sz w:val="18"/>
                <w:szCs w:val="18"/>
              </w:rPr>
              <w:t>语言</w:t>
            </w:r>
          </w:p>
        </w:tc>
      </w:tr>
      <w:tr>
        <w:trPr>
          <w:tblCellSpacing w:w="7" w:type="dxa"/>
        </w:trPr>
        <w:tc>
          <w:tcPr>
            <w:tcW w:w="489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Máster Universitario de Investigación en Prácticas Artísticas y Visuales </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艺术和视觉实践研究硕士</w:t>
            </w:r>
          </w:p>
        </w:tc>
        <w:tc>
          <w:tcPr>
            <w:tcW w:w="94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w:t>
            </w:r>
          </w:p>
        </w:tc>
        <w:tc>
          <w:tcPr>
            <w:tcW w:w="1318"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22.21€/学分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45 € 管理费</w:t>
            </w:r>
          </w:p>
        </w:tc>
        <w:tc>
          <w:tcPr>
            <w:tcW w:w="110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89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Máster Universitario en Investigación en Letras y Humanidades </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语言人文研究硕士</w:t>
            </w:r>
          </w:p>
        </w:tc>
        <w:tc>
          <w:tcPr>
            <w:tcW w:w="94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w:t>
            </w:r>
          </w:p>
        </w:tc>
        <w:tc>
          <w:tcPr>
            <w:tcW w:w="1318"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15.10€/学分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45 € 管理费</w:t>
            </w:r>
          </w:p>
        </w:tc>
        <w:tc>
          <w:tcPr>
            <w:tcW w:w="110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89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Máster Universitario de Investigación en Ciencias del Deporte</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运动科学研究硕士</w:t>
            </w:r>
          </w:p>
        </w:tc>
        <w:tc>
          <w:tcPr>
            <w:tcW w:w="94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w:t>
            </w:r>
          </w:p>
        </w:tc>
        <w:tc>
          <w:tcPr>
            <w:tcW w:w="1318"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23.75 €/学分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45 € 管理费</w:t>
            </w:r>
          </w:p>
        </w:tc>
        <w:tc>
          <w:tcPr>
            <w:tcW w:w="110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r>
        <w:trPr>
          <w:tblCellSpacing w:w="7" w:type="dxa"/>
        </w:trPr>
        <w:tc>
          <w:tcPr>
            <w:tcW w:w="489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Máster Universitario en Banca y Finanzas Cuantitativas</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银行学和计量财务学硕士</w:t>
            </w:r>
          </w:p>
        </w:tc>
        <w:tc>
          <w:tcPr>
            <w:tcW w:w="94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120</w:t>
            </w:r>
          </w:p>
        </w:tc>
        <w:tc>
          <w:tcPr>
            <w:tcW w:w="1318"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15.10 €/学分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45 € 管理费</w:t>
            </w:r>
          </w:p>
        </w:tc>
        <w:tc>
          <w:tcPr>
            <w:tcW w:w="110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英语</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西班牙语</w:t>
            </w:r>
          </w:p>
        </w:tc>
      </w:tr>
      <w:tr>
        <w:trPr>
          <w:tblCellSpacing w:w="7" w:type="dxa"/>
        </w:trPr>
        <w:tc>
          <w:tcPr>
            <w:tcW w:w="489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Máster Universitario en Economía Internacional y Relaciones Laborales </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国际经济和人力关系硕士</w:t>
            </w:r>
          </w:p>
        </w:tc>
        <w:tc>
          <w:tcPr>
            <w:tcW w:w="94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w:t>
            </w:r>
          </w:p>
        </w:tc>
        <w:tc>
          <w:tcPr>
            <w:tcW w:w="1318"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15.10 €/学分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45 € 管理费</w:t>
            </w:r>
          </w:p>
        </w:tc>
        <w:tc>
          <w:tcPr>
            <w:tcW w:w="110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英语</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西班牙语</w:t>
            </w:r>
          </w:p>
        </w:tc>
      </w:tr>
      <w:tr>
        <w:trPr>
          <w:tblCellSpacing w:w="7" w:type="dxa"/>
        </w:trPr>
        <w:tc>
          <w:tcPr>
            <w:tcW w:w="489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Máster Universitario en Estrategia y Marketing de la Empresa </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企业战略和营销硕士</w:t>
            </w:r>
          </w:p>
        </w:tc>
        <w:tc>
          <w:tcPr>
            <w:tcW w:w="94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w:t>
            </w:r>
          </w:p>
        </w:tc>
        <w:tc>
          <w:tcPr>
            <w:tcW w:w="1318"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15.33 €/学分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45 € 管理费</w:t>
            </w:r>
          </w:p>
        </w:tc>
        <w:tc>
          <w:tcPr>
            <w:tcW w:w="110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英语</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西班牙语</w:t>
            </w:r>
          </w:p>
        </w:tc>
      </w:tr>
      <w:tr>
        <w:trPr>
          <w:tblCellSpacing w:w="7" w:type="dxa"/>
        </w:trPr>
        <w:tc>
          <w:tcPr>
            <w:tcW w:w="489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Máster Universitario en Fiscalidad Internacional y Comunitaria </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国际和地区财政硕士</w:t>
            </w:r>
          </w:p>
        </w:tc>
        <w:tc>
          <w:tcPr>
            <w:tcW w:w="94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w:t>
            </w:r>
          </w:p>
        </w:tc>
        <w:tc>
          <w:tcPr>
            <w:tcW w:w="1318"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15.33 €/学分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45 € 管理费</w:t>
            </w:r>
          </w:p>
        </w:tc>
        <w:tc>
          <w:tcPr>
            <w:tcW w:w="110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英语</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西班牙语</w:t>
            </w:r>
          </w:p>
        </w:tc>
      </w:tr>
      <w:tr>
        <w:trPr>
          <w:tblCellSpacing w:w="7" w:type="dxa"/>
        </w:trPr>
        <w:tc>
          <w:tcPr>
            <w:tcW w:w="4899" w:type="dxa"/>
            <w:shd w:val="clear" w:color="auto" w:fill="FFFFFF"/>
            <w:vAlign w:val="top"/>
          </w:tcPr>
          <w:p>
            <w:pPr>
              <w:widowControl/>
              <w:spacing w:line="420" w:lineRule="atLeast"/>
              <w:jc w:val="left"/>
              <w:rPr>
                <w:rFonts w:hint="eastAsia" w:ascii="宋体" w:hAnsi="宋体" w:eastAsia="宋体" w:cs="宋体"/>
                <w:color w:val="333333"/>
                <w:kern w:val="0"/>
                <w:sz w:val="18"/>
                <w:szCs w:val="18"/>
              </w:rPr>
            </w:pPr>
            <w:r>
              <w:rPr>
                <w:rFonts w:ascii="宋体" w:hAnsi="宋体" w:eastAsia="宋体" w:cs="宋体"/>
                <w:color w:val="333333"/>
                <w:kern w:val="0"/>
                <w:sz w:val="18"/>
                <w:szCs w:val="18"/>
              </w:rPr>
              <w:t>Máster Universitario en Profesor de Educación Secundaria Obligatoria y Bachillerato, Formación Profesional y Enseñanza de Idiomas </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中等教育，职业教育和语言教育师范硕士</w:t>
            </w:r>
          </w:p>
        </w:tc>
        <w:tc>
          <w:tcPr>
            <w:tcW w:w="945"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60</w:t>
            </w:r>
          </w:p>
        </w:tc>
        <w:tc>
          <w:tcPr>
            <w:tcW w:w="1318"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15.10 €/学分</w:t>
            </w:r>
            <w:r>
              <w:rPr>
                <w:rFonts w:ascii="宋体" w:hAnsi="宋体" w:eastAsia="宋体" w:cs="宋体"/>
                <w:color w:val="333333"/>
                <w:kern w:val="0"/>
                <w:sz w:val="18"/>
              </w:rPr>
              <w:t> </w:t>
            </w:r>
            <w:r>
              <w:rPr>
                <w:rFonts w:ascii="宋体" w:hAnsi="宋体" w:eastAsia="宋体" w:cs="宋体"/>
                <w:color w:val="333333"/>
                <w:kern w:val="0"/>
                <w:sz w:val="18"/>
                <w:szCs w:val="18"/>
              </w:rPr>
              <w:br/>
            </w:r>
            <w:r>
              <w:rPr>
                <w:rFonts w:ascii="宋体" w:hAnsi="宋体" w:eastAsia="宋体" w:cs="宋体"/>
                <w:color w:val="333333"/>
                <w:kern w:val="0"/>
                <w:sz w:val="18"/>
                <w:szCs w:val="18"/>
              </w:rPr>
              <w:t>45 € 管理费</w:t>
            </w:r>
          </w:p>
        </w:tc>
        <w:tc>
          <w:tcPr>
            <w:tcW w:w="1102" w:type="dxa"/>
            <w:shd w:val="clear" w:color="auto" w:fill="FFFFFF"/>
            <w:vAlign w:val="top"/>
          </w:tcPr>
          <w:p>
            <w:pPr>
              <w:widowControl/>
              <w:spacing w:line="420" w:lineRule="atLeast"/>
              <w:jc w:val="center"/>
              <w:rPr>
                <w:rFonts w:hint="eastAsia" w:ascii="宋体" w:hAnsi="宋体" w:eastAsia="宋体" w:cs="宋体"/>
                <w:color w:val="333333"/>
                <w:kern w:val="0"/>
                <w:sz w:val="18"/>
                <w:szCs w:val="18"/>
              </w:rPr>
            </w:pPr>
            <w:r>
              <w:rPr>
                <w:rFonts w:ascii="宋体" w:hAnsi="宋体" w:eastAsia="宋体" w:cs="宋体"/>
                <w:color w:val="333333"/>
                <w:kern w:val="0"/>
                <w:sz w:val="18"/>
                <w:szCs w:val="18"/>
              </w:rPr>
              <w:t>西班牙语</w:t>
            </w:r>
          </w:p>
        </w:tc>
      </w:tr>
    </w:tbl>
    <w:p>
      <w:pPr>
        <w:rPr>
          <w:color w:val="FF0000"/>
          <w:sz w:val="36"/>
          <w:szCs w:val="36"/>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Cambria">
    <w:panose1 w:val="02040503050406030204"/>
    <w:charset w:val="00"/>
    <w:family w:val="auto"/>
    <w:pitch w:val="default"/>
    <w:sig w:usb0="A00002EF" w:usb1="4000004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49127383">
    <w:nsid w:val="1AC523D7"/>
    <w:multiLevelType w:val="multilevel"/>
    <w:tmpl w:val="1AC523D7"/>
    <w:lvl w:ilvl="0" w:tentative="1">
      <w:start w:val="1"/>
      <w:numFmt w:val="bullet"/>
      <w:lvlText w:val=""/>
      <w:lvlJc w:val="left"/>
      <w:pPr>
        <w:tabs>
          <w:tab w:val="left" w:pos="720"/>
        </w:tabs>
        <w:ind w:left="720" w:hanging="360"/>
      </w:pPr>
      <w:rPr>
        <w:rFonts w:hint="default" w:ascii="Symbol" w:hAnsi="Symbol"/>
        <w:sz w:val="20"/>
      </w:rPr>
    </w:lvl>
    <w:lvl w:ilvl="1" w:tentative="1">
      <w:start w:val="1"/>
      <w:numFmt w:val="bullet"/>
      <w:lvlText w:val="o"/>
      <w:lvlJc w:val="left"/>
      <w:pPr>
        <w:tabs>
          <w:tab w:val="left" w:pos="1440"/>
        </w:tabs>
        <w:ind w:left="1440" w:hanging="360"/>
      </w:pPr>
      <w:rPr>
        <w:rFonts w:hint="default" w:ascii="Courier New" w:hAnsi="Courier New"/>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784543195">
    <w:nsid w:val="2EC32DDB"/>
    <w:multiLevelType w:val="multilevel"/>
    <w:tmpl w:val="2EC32DDB"/>
    <w:lvl w:ilvl="0" w:tentative="1">
      <w:start w:val="1"/>
      <w:numFmt w:val="bullet"/>
      <w:lvlText w:val=""/>
      <w:lvlJc w:val="left"/>
      <w:pPr>
        <w:tabs>
          <w:tab w:val="left" w:pos="720"/>
        </w:tabs>
        <w:ind w:left="720" w:hanging="360"/>
      </w:pPr>
      <w:rPr>
        <w:rFonts w:hint="default" w:ascii="Symbol" w:hAnsi="Symbol"/>
        <w:sz w:val="20"/>
      </w:rPr>
    </w:lvl>
    <w:lvl w:ilvl="1" w:tentative="1">
      <w:start w:val="1"/>
      <w:numFmt w:val="bullet"/>
      <w:lvlText w:val="o"/>
      <w:lvlJc w:val="left"/>
      <w:pPr>
        <w:tabs>
          <w:tab w:val="left" w:pos="1440"/>
        </w:tabs>
        <w:ind w:left="1440" w:hanging="360"/>
      </w:pPr>
      <w:rPr>
        <w:rFonts w:hint="default" w:ascii="Courier New" w:hAnsi="Courier New"/>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1143740919">
    <w:nsid w:val="442C19F7"/>
    <w:multiLevelType w:val="multilevel"/>
    <w:tmpl w:val="442C19F7"/>
    <w:lvl w:ilvl="0" w:tentative="1">
      <w:start w:val="1"/>
      <w:numFmt w:val="bullet"/>
      <w:lvlText w:val=""/>
      <w:lvlJc w:val="left"/>
      <w:pPr>
        <w:tabs>
          <w:tab w:val="left" w:pos="720"/>
        </w:tabs>
        <w:ind w:left="720" w:hanging="360"/>
      </w:pPr>
      <w:rPr>
        <w:rFonts w:hint="default" w:ascii="Symbol" w:hAnsi="Symbol"/>
        <w:sz w:val="20"/>
      </w:rPr>
    </w:lvl>
    <w:lvl w:ilvl="1" w:tentative="1">
      <w:start w:val="1"/>
      <w:numFmt w:val="bullet"/>
      <w:lvlText w:val="o"/>
      <w:lvlJc w:val="left"/>
      <w:pPr>
        <w:tabs>
          <w:tab w:val="left" w:pos="1440"/>
        </w:tabs>
        <w:ind w:left="1440" w:hanging="360"/>
      </w:pPr>
      <w:rPr>
        <w:rFonts w:hint="default" w:ascii="Courier New" w:hAnsi="Courier New"/>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1339693949">
    <w:nsid w:val="4FDA1B7D"/>
    <w:multiLevelType w:val="multilevel"/>
    <w:tmpl w:val="4FDA1B7D"/>
    <w:lvl w:ilvl="0" w:tentative="1">
      <w:start w:val="1"/>
      <w:numFmt w:val="bullet"/>
      <w:lvlText w:val=""/>
      <w:lvlJc w:val="left"/>
      <w:pPr>
        <w:tabs>
          <w:tab w:val="left" w:pos="720"/>
        </w:tabs>
        <w:ind w:left="720" w:hanging="360"/>
      </w:pPr>
      <w:rPr>
        <w:rFonts w:hint="default" w:ascii="Symbol" w:hAnsi="Symbol"/>
        <w:sz w:val="20"/>
      </w:rPr>
    </w:lvl>
    <w:lvl w:ilvl="1" w:tentative="1">
      <w:start w:val="1"/>
      <w:numFmt w:val="bullet"/>
      <w:lvlText w:val="o"/>
      <w:lvlJc w:val="left"/>
      <w:pPr>
        <w:tabs>
          <w:tab w:val="left" w:pos="1440"/>
        </w:tabs>
        <w:ind w:left="1440" w:hanging="360"/>
      </w:pPr>
      <w:rPr>
        <w:rFonts w:hint="default" w:ascii="Courier New" w:hAnsi="Courier New"/>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1461073896">
    <w:nsid w:val="571637E8"/>
    <w:multiLevelType w:val="multilevel"/>
    <w:tmpl w:val="571637E8"/>
    <w:lvl w:ilvl="0" w:tentative="1">
      <w:start w:val="1"/>
      <w:numFmt w:val="bullet"/>
      <w:lvlText w:val=""/>
      <w:lvlJc w:val="left"/>
      <w:pPr>
        <w:tabs>
          <w:tab w:val="left" w:pos="720"/>
        </w:tabs>
        <w:ind w:left="720" w:hanging="360"/>
      </w:pPr>
      <w:rPr>
        <w:rFonts w:hint="default" w:ascii="Symbol" w:hAnsi="Symbol"/>
        <w:sz w:val="20"/>
      </w:rPr>
    </w:lvl>
    <w:lvl w:ilvl="1" w:tentative="1">
      <w:start w:val="1"/>
      <w:numFmt w:val="bullet"/>
      <w:lvlText w:val="o"/>
      <w:lvlJc w:val="left"/>
      <w:pPr>
        <w:tabs>
          <w:tab w:val="left" w:pos="1440"/>
        </w:tabs>
        <w:ind w:left="1440" w:hanging="360"/>
      </w:pPr>
      <w:rPr>
        <w:rFonts w:hint="default" w:ascii="Courier New" w:hAnsi="Courier New"/>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2030830862">
    <w:nsid w:val="790C050E"/>
    <w:multiLevelType w:val="multilevel"/>
    <w:tmpl w:val="790C050E"/>
    <w:lvl w:ilvl="0" w:tentative="1">
      <w:start w:val="1"/>
      <w:numFmt w:val="bullet"/>
      <w:lvlText w:val=""/>
      <w:lvlJc w:val="left"/>
      <w:pPr>
        <w:tabs>
          <w:tab w:val="left" w:pos="720"/>
        </w:tabs>
        <w:ind w:left="720" w:hanging="360"/>
      </w:pPr>
      <w:rPr>
        <w:rFonts w:hint="default" w:ascii="Symbol" w:hAnsi="Symbol"/>
        <w:sz w:val="20"/>
      </w:rPr>
    </w:lvl>
    <w:lvl w:ilvl="1" w:tentative="1">
      <w:start w:val="1"/>
      <w:numFmt w:val="bullet"/>
      <w:lvlText w:val="o"/>
      <w:lvlJc w:val="left"/>
      <w:pPr>
        <w:tabs>
          <w:tab w:val="left" w:pos="1440"/>
        </w:tabs>
        <w:ind w:left="1440" w:hanging="360"/>
      </w:pPr>
      <w:rPr>
        <w:rFonts w:hint="default" w:ascii="Courier New" w:hAnsi="Courier New"/>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num w:numId="1">
    <w:abstractNumId w:val="1339693949"/>
  </w:num>
  <w:num w:numId="2">
    <w:abstractNumId w:val="449127383"/>
  </w:num>
  <w:num w:numId="3">
    <w:abstractNumId w:val="784543195"/>
  </w:num>
  <w:num w:numId="4">
    <w:abstractNumId w:val="2030830862"/>
  </w:num>
  <w:num w:numId="5">
    <w:abstractNumId w:val="1143740919"/>
  </w:num>
  <w:num w:numId="6">
    <w:abstractNumId w:val="14610738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7">
    <w:name w:val="页眉 Char Char"/>
    <w:basedOn w:val="5"/>
    <w:link w:val="3"/>
    <w:uiPriority w:val="99"/>
    <w:rPr>
      <w:sz w:val="18"/>
      <w:szCs w:val="18"/>
    </w:rPr>
  </w:style>
  <w:style w:type="character" w:customStyle="1" w:styleId="8">
    <w:name w:val="页脚 Char Char"/>
    <w:basedOn w:val="5"/>
    <w:link w:val="2"/>
    <w:uiPriority w:val="99"/>
    <w:rPr>
      <w:sz w:val="18"/>
      <w:szCs w:val="18"/>
    </w:rPr>
  </w:style>
  <w:style w:type="character" w:customStyle="1" w:styleId="9">
    <w:name w:val="apple-converted-space"/>
    <w:basedOn w:val="5"/>
    <w:uiPriority w:val="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1388</Words>
  <Characters>7914</Characters>
  <Lines>65</Lines>
  <Paragraphs>18</Paragraphs>
  <ScaleCrop>false</ScaleCrop>
  <LinksUpToDate>false</LinksUpToDate>
  <CharactersWithSpaces>0</CharactersWithSpaces>
  <Application>WPS Office 个人版_9.1.0.4369_{F1E327BC-269C-435d-A152-05C5408002CA}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2013-10-14T06:39:00Z</dcterms:created>
  <dc:creator>phoebe</dc:creator>
  <cp:lastModifiedBy>Administrator</cp:lastModifiedBy>
  <dcterms:modified xsi:type="dcterms:W3CDTF">2013-10-17T05:35:40Z</dcterms:modified>
  <dc:title>公立萨拉戈萨大学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2052-9.1.0.4369</vt:lpwstr>
  </property>
</Properties>
</file>